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Style w:val="MdHeading1"/>
      </w:pPr>
      <w:r>
        <w:t xml:space="preserve">Fortune DT Sacco Society Ltd – Privacy Policy</w:t>
      </w:r>
    </w:p>
    <w:p>
      <w:pPr>
        <w:pStyle w:val="MdParagraph"/>
      </w:pPr>
      <w:r>
        <w:rPr>
          <w:rStyle w:val="MdStrong"/>
          <w:b/>
          <w:bCs/>
        </w:rPr>
        <w:t xml:space="preserve">Effective Date:</w:t>
      </w:r>
      <w:r>
        <w:t xml:space="preserve"> June 15, 2026</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COOKIE POLICY</w:t>
      </w:r>
    </w:p>
    <w:p>
      <w:pPr>
        <w:pStyle w:val="MdParagraph"/>
      </w:pPr>
      <w:r>
        <w:t xml:space="preserve">Fortune DT Sacco Society Ltd ("Fortune Sacco", "we", "us", or "our") may store some information (using "cookies") on your computer when you visit our website and digital platforms. This enables us to recognize you during subsequent visits and enhance your user experience.</w:t>
      </w:r>
    </w:p>
    <w:p>
      <w:pPr>
        <w:pStyle w:val="MdSpace"/>
        <w:spacing w:before="0" w:after="60"/>
      </w:pPr>
    </w:p>
    <w:p>
      <w:pPr>
        <w:pStyle w:val="Heading3"/>
        <w:pStyle w:val="MdHeading3"/>
      </w:pPr>
      <w:r>
        <w:t xml:space="preserve">Types of Information Gathered</w:t>
      </w:r>
    </w:p>
    <w:p>
      <w:pPr>
        <w:pStyle w:val="MdParagraph"/>
      </w:pPr>
      <w:r>
        <w:t xml:space="preserve">The type of information gathered through cookies is primarily non-personal and includes:</w:t>
      </w:r>
    </w:p>
    <w:p>
      <w:pPr>
        <w:pStyle w:val="MdSpace"/>
        <w:spacing w:before="0" w:after="60"/>
      </w:pPr>
    </w:p>
    <w:p>
      <w:pPr>
        <w:pStyle w:val="MdListItem"/>
        <w:numPr>
          <w:ilvl w:val="0"/>
          <w:numId w:val="2"/>
        </w:numPr>
      </w:pPr>
      <w:r>
        <w:t xml:space="preserve">The Internet Protocol (IP) address of your computer</w:t>
      </w:r>
    </w:p>
    <w:p>
      <w:pPr>
        <w:pStyle w:val="MdListItem"/>
        <w:numPr>
          <w:ilvl w:val="0"/>
          <w:numId w:val="2"/>
        </w:numPr>
      </w:pPr>
      <w:r>
        <w:t xml:space="preserve">The date and time of your visit</w:t>
      </w:r>
    </w:p>
    <w:p>
      <w:pPr>
        <w:pStyle w:val="MdListItem"/>
        <w:numPr>
          <w:ilvl w:val="0"/>
          <w:numId w:val="2"/>
        </w:numPr>
      </w:pPr>
      <w:r>
        <w:t xml:space="preserve">Which pages you browsed</w:t>
      </w:r>
    </w:p>
    <w:p>
      <w:pPr>
        <w:pStyle w:val="MdListItem"/>
        <w:numPr>
          <w:ilvl w:val="0"/>
          <w:numId w:val="2"/>
        </w:numPr>
      </w:pPr>
      <w:r>
        <w:t xml:space="preserve">Whether the pages have been delivered successfully</w:t>
      </w:r>
    </w:p>
    <w:p>
      <w:pPr>
        <w:pStyle w:val="MdListItem"/>
        <w:numPr>
          <w:ilvl w:val="0"/>
          <w:numId w:val="2"/>
        </w:numPr>
      </w:pPr>
      <w:r>
        <w:t xml:space="preserve">Your browser type and device information</w:t>
      </w:r>
    </w:p>
    <w:p>
      <w:pPr>
        <w:pStyle w:val="MdListItem"/>
        <w:numPr>
          <w:ilvl w:val="0"/>
          <w:numId w:val="2"/>
        </w:numPr>
      </w:pPr>
      <w:r>
        <w:t xml:space="preserve">General usage patterns and preferences</w:t>
      </w:r>
    </w:p>
    <w:p>
      <w:pPr>
        <w:pStyle w:val="MdSpace"/>
        <w:spacing w:before="0" w:after="60"/>
      </w:pPr>
    </w:p>
    <w:p>
      <w:pPr>
        <w:pStyle w:val="Heading3"/>
        <w:pStyle w:val="MdHeading3"/>
      </w:pPr>
      <w:r>
        <w:t xml:space="preserve">Use of Cookie Data</w:t>
      </w:r>
    </w:p>
    <w:p>
      <w:pPr>
        <w:pStyle w:val="MdParagraph"/>
      </w:pPr>
      <w:r>
        <w:t xml:space="preserve">We may use this data in aggregate form to develop customized services tailored to your individual interests and needs. You have the right to opt out of non-essential cookies. Depending on the browser you are using, it is possible to be prompted before accepting any cookies, or to prevent your browser from accepting any cookies at all. Please note that blocking essential cookies may cause certain features of our website and digital services not to be accessible.</w:t>
      </w:r>
    </w:p>
    <w:p>
      <w:pPr>
        <w:pStyle w:val="MdSpace"/>
        <w:spacing w:before="0" w:after="60"/>
      </w:pPr>
    </w:p>
    <w:p>
      <w:pPr>
        <w:pStyle w:val="Heading3"/>
        <w:pStyle w:val="MdHeading3"/>
      </w:pPr>
      <w:r>
        <w:t xml:space="preserve">Your Cookie Choices</w:t>
      </w:r>
    </w:p>
    <w:p>
      <w:pPr>
        <w:pStyle w:val="MdParagraph"/>
      </w:pPr>
      <w:r>
        <w:t xml:space="preserve">By accessing our website and digital platforms, you acknowledge that you understand and agree to the storing of cookies on your device to enhance site navigation and analyze site usage. You have a right to opt out of non-essential cookies as stated in this privacy policy.</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DATA PROTECTION OFFICER</w:t>
      </w:r>
    </w:p>
    <w:p>
      <w:pPr>
        <w:pStyle w:val="MdParagraph"/>
      </w:pPr>
      <w:r>
        <w:t xml:space="preserve">Fortune Sacco, as a data controller, is required to have a Data Protection Officer whose role is to oversee and ensure compliance with the Kenya Data Protection Act, 2019 and related regulations. The contact details of Fortune Sacco's Data Protection Officer are as follows:</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Detail</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Information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Name</w:t>
            </w:r>
          </w:p>
        </w:tc>
        <w:tc>
          <w:tcPr>
            <w:tcBorders>
              <w:right w:val="none"/>
            </w:tcBorders>
            <w:tcMar>
              <w:top w:type="dxa" w:w="80"/>
              <w:left w:type="dxa" w:w="120"/>
              <w:bottom w:type="dxa" w:w="80"/>
              <w:right w:type="dxa" w:w="120"/>
            </w:tcMar>
            <w:vAlign w:val="center"/>
          </w:tcPr>
          <w:p>
            <w:pPr>
              <w:pStyle w:val="MdTableCell"/>
            </w:pPr>
            <w:r>
              <w:t xml:space="preserve">Rodney Chege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Designation</w:t>
            </w:r>
          </w:p>
        </w:tc>
        <w:tc>
          <w:tcPr>
            <w:tcBorders>
              <w:right w:val="none"/>
            </w:tcBorders>
            <w:tcMar>
              <w:top w:type="dxa" w:w="80"/>
              <w:left w:type="dxa" w:w="120"/>
              <w:bottom w:type="dxa" w:w="80"/>
              <w:right w:type="dxa" w:w="120"/>
            </w:tcMar>
            <w:vAlign w:val="center"/>
          </w:tcPr>
          <w:p>
            <w:pPr>
              <w:pStyle w:val="MdTableCell"/>
            </w:pPr>
            <w:r>
              <w:t xml:space="preserve">Data Protection Officer</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Organization</w:t>
            </w:r>
          </w:p>
        </w:tc>
        <w:tc>
          <w:tcPr>
            <w:tcBorders>
              <w:right w:val="none"/>
            </w:tcBorders>
            <w:tcMar>
              <w:top w:type="dxa" w:w="80"/>
              <w:left w:type="dxa" w:w="120"/>
              <w:bottom w:type="dxa" w:w="80"/>
              <w:right w:type="dxa" w:w="120"/>
            </w:tcMar>
            <w:vAlign w:val="center"/>
          </w:tcPr>
          <w:p>
            <w:pPr>
              <w:pStyle w:val="MdTableCell"/>
            </w:pPr>
            <w:r>
              <w:t xml:space="preserve">Fortune DT Sacco Society Ltd</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Email</w:t>
            </w:r>
          </w:p>
        </w:tc>
        <w:tc>
          <w:tcPr>
            <w:tcBorders>
              <w:right w:val="none"/>
            </w:tcBorders>
            <w:tcMar>
              <w:top w:type="dxa" w:w="80"/>
              <w:left w:type="dxa" w:w="120"/>
              <w:bottom w:type="dxa" w:w="80"/>
              <w:right w:type="dxa" w:w="120"/>
            </w:tcMar>
            <w:vAlign w:val="center"/>
          </w:tcPr>
          <w:p>
            <w:pPr>
              <w:pStyle w:val="MdTableCell"/>
            </w:pPr>
            <w:hyperlink w:history="1" r:id="rIdofqih73upi87ekth94q-x">
              <w:r>
                <w:rPr>
                  <w:rStyle w:val="MdLink"/>
                </w:rPr>
                <w:t xml:space="preserve">DPO@fortune.co.ke</w:t>
              </w:r>
            </w:hyperlink>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Telephone</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011054300</w:t>
            </w:r>
          </w:p>
        </w:tc>
      </w:tr>
    </w:tbl>
    <w:p>
      <w:pPr>
        <w:pStyle w:val="MdHr"/>
        <w:pBdr>
          <w:bottom w:val="single" w:color="auto" w:sz="6" w:space="1"/>
        </w:pBdr>
      </w:pPr>
    </w:p>
    <w:p>
      <w:pPr>
        <w:pStyle w:val="MdSpace"/>
        <w:spacing w:before="0" w:after="60"/>
      </w:pPr>
    </w:p>
    <w:p>
      <w:pPr>
        <w:pStyle w:val="Heading2"/>
        <w:pStyle w:val="MdHeading2"/>
      </w:pPr>
      <w:r>
        <w:t xml:space="preserve">PRIVACY STATEMENT</w:t>
      </w:r>
    </w:p>
    <w:p>
      <w:pPr>
        <w:pStyle w:val="MdParagraph"/>
      </w:pPr>
      <w:r>
        <w:t xml:space="preserve">This Privacy Statement provides information on how and why Fortune DT Sacco Society Ltd collects and processes your personal data. This statement should be read together with the Terms and Conditions of use for other Fortune Sacco services. Where there is a conflict between this privacy statement and other terms, this privacy statement will prevail.</w:t>
      </w:r>
    </w:p>
    <w:p>
      <w:pPr>
        <w:pStyle w:val="MdSpace"/>
        <w:spacing w:before="0" w:after="60"/>
      </w:pPr>
    </w:p>
    <w:p>
      <w:pPr>
        <w:pStyle w:val="Heading3"/>
        <w:pStyle w:val="MdHeading3"/>
      </w:pPr>
      <w:r>
        <w:t xml:space="preserve">Scope and Applicability</w:t>
      </w:r>
    </w:p>
    <w:p>
      <w:pPr>
        <w:pStyle w:val="MdParagraph"/>
      </w:pPr>
      <w:r>
        <w:t xml:space="preserve">This statement applies to:</w:t>
      </w:r>
    </w:p>
    <w:p>
      <w:pPr>
        <w:pStyle w:val="MdSpace"/>
        <w:spacing w:before="0" w:after="60"/>
      </w:pPr>
    </w:p>
    <w:p>
      <w:pPr>
        <w:pStyle w:val="MdListItem"/>
        <w:numPr>
          <w:ilvl w:val="0"/>
          <w:numId w:val="2"/>
        </w:numPr>
      </w:pPr>
      <w:r>
        <w:t xml:space="preserve">All members of Fortune Sacco</w:t>
      </w:r>
    </w:p>
    <w:p>
      <w:pPr>
        <w:pStyle w:val="MdListItem"/>
        <w:numPr>
          <w:ilvl w:val="0"/>
          <w:numId w:val="2"/>
        </w:numPr>
      </w:pPr>
      <w:r>
        <w:t xml:space="preserve">Prospective members and loan applicants</w:t>
      </w:r>
    </w:p>
    <w:p>
      <w:pPr>
        <w:pStyle w:val="MdListItem"/>
        <w:numPr>
          <w:ilvl w:val="0"/>
          <w:numId w:val="2"/>
        </w:numPr>
      </w:pPr>
      <w:r>
        <w:t xml:space="preserve">Beneficiaries of member accounts</w:t>
      </w:r>
    </w:p>
    <w:p>
      <w:pPr>
        <w:pStyle w:val="MdListItem"/>
        <w:numPr>
          <w:ilvl w:val="0"/>
          <w:numId w:val="2"/>
        </w:numPr>
      </w:pPr>
      <w:r>
        <w:t xml:space="preserve">Website visitors and digital platform users</w:t>
      </w:r>
    </w:p>
    <w:p>
      <w:pPr>
        <w:pStyle w:val="MdListItem"/>
        <w:numPr>
          <w:ilvl w:val="0"/>
          <w:numId w:val="2"/>
        </w:numPr>
      </w:pPr>
      <w:r>
        <w:t xml:space="preserve">Employees, contractors, and service providers</w:t>
      </w:r>
    </w:p>
    <w:p>
      <w:pPr>
        <w:pStyle w:val="MdListItem"/>
        <w:numPr>
          <w:ilvl w:val="0"/>
          <w:numId w:val="2"/>
        </w:numPr>
      </w:pPr>
      <w:r>
        <w:t xml:space="preserve">Vendors and third-party service providers</w:t>
      </w:r>
    </w:p>
    <w:p>
      <w:pPr>
        <w:pStyle w:val="MdListItem"/>
        <w:numPr>
          <w:ilvl w:val="0"/>
          <w:numId w:val="2"/>
        </w:numPr>
      </w:pPr>
      <w:r>
        <w:t xml:space="preserve">Regulatory and law enforcement authorities</w:t>
      </w:r>
    </w:p>
    <w:p>
      <w:pPr>
        <w:pStyle w:val="MdListItem"/>
        <w:numPr>
          <w:ilvl w:val="0"/>
          <w:numId w:val="2"/>
        </w:numPr>
      </w:pPr>
      <w:r>
        <w:t xml:space="preserve">All visitors to Fortune Sacco premises</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DEFINITIONS</w:t>
      </w:r>
    </w:p>
    <w:p>
      <w:pPr>
        <w:pStyle w:val="MdParagraph"/>
      </w:pPr>
      <w:r>
        <w:t xml:space="preserve">For the purposes of this Privacy Policy, the following terms have the meanings assigned to them:</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Term</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Definition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Authority/Fortune Sacco/We/Our/Ours/Us</w:t>
            </w:r>
          </w:p>
        </w:tc>
        <w:tc>
          <w:tcPr>
            <w:tcBorders>
              <w:right w:val="none"/>
            </w:tcBorders>
            <w:tcMar>
              <w:top w:type="dxa" w:w="80"/>
              <w:left w:type="dxa" w:w="120"/>
              <w:bottom w:type="dxa" w:w="80"/>
              <w:right w:type="dxa" w:w="120"/>
            </w:tcMar>
            <w:vAlign w:val="center"/>
          </w:tcPr>
          <w:p>
            <w:pPr>
              <w:pStyle w:val="MdTableCell"/>
            </w:pPr>
            <w:r>
              <w:t xml:space="preserve">Fortune DT Sacco Society Ltd, a savings and credit cooperative society registered under the Cooperative Societies Act, 1997 and regulated by the Sacco Societies Regulatory Authority (SASRA).</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Data Protection Officer (DPO)</w:t>
            </w:r>
          </w:p>
        </w:tc>
        <w:tc>
          <w:tcPr>
            <w:tcBorders>
              <w:right w:val="none"/>
            </w:tcBorders>
            <w:tcMar>
              <w:top w:type="dxa" w:w="80"/>
              <w:left w:type="dxa" w:w="120"/>
              <w:bottom w:type="dxa" w:w="80"/>
              <w:right w:type="dxa" w:w="120"/>
            </w:tcMar>
            <w:vAlign w:val="center"/>
          </w:tcPr>
          <w:p>
            <w:pPr>
              <w:pStyle w:val="MdTableCell"/>
            </w:pPr>
            <w:r>
              <w:t xml:space="preserve">A person designated or appointed by Fortune Sacco to monitor compliance with the Kenya Data Protection Act, 2019 and the Regulations made under the Act.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Data Collection</w:t>
            </w:r>
          </w:p>
        </w:tc>
        <w:tc>
          <w:tcPr>
            <w:tcBorders>
              <w:right w:val="none"/>
            </w:tcBorders>
            <w:tcMar>
              <w:top w:type="dxa" w:w="80"/>
              <w:left w:type="dxa" w:w="120"/>
              <w:bottom w:type="dxa" w:w="80"/>
              <w:right w:type="dxa" w:w="120"/>
            </w:tcMar>
            <w:vAlign w:val="center"/>
          </w:tcPr>
          <w:p>
            <w:pPr>
              <w:pStyle w:val="MdTableCell"/>
            </w:pPr>
            <w:r>
              <w:t xml:space="preserve">The gathering of information that relates to you.</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Personal Data</w:t>
            </w:r>
          </w:p>
        </w:tc>
        <w:tc>
          <w:tcPr>
            <w:tcBorders>
              <w:right w:val="none"/>
            </w:tcBorders>
            <w:tcMar>
              <w:top w:type="dxa" w:w="80"/>
              <w:left w:type="dxa" w:w="120"/>
              <w:bottom w:type="dxa" w:w="80"/>
              <w:right w:type="dxa" w:w="120"/>
            </w:tcMar>
            <w:vAlign w:val="center"/>
          </w:tcPr>
          <w:p>
            <w:pPr>
              <w:pStyle w:val="MdTableCell"/>
            </w:pPr>
            <w:r>
              <w:t xml:space="preserve">Information about you that identifies you directly or indirectly as a unique individual, such as name, identification number, location data, online identifier, or one or more factors specific to your physical, physiological, genetic, mental, economic, cultural, or social identity.</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Processing</w:t>
            </w:r>
          </w:p>
        </w:tc>
        <w:tc>
          <w:tcPr>
            <w:tcBorders>
              <w:right w:val="none"/>
            </w:tcBorders>
            <w:tcMar>
              <w:top w:type="dxa" w:w="80"/>
              <w:left w:type="dxa" w:w="120"/>
              <w:bottom w:type="dxa" w:w="80"/>
              <w:right w:type="dxa" w:w="120"/>
            </w:tcMar>
            <w:vAlign w:val="center"/>
          </w:tcPr>
          <w:p>
            <w:pPr>
              <w:pStyle w:val="MdTableCell"/>
            </w:pPr>
            <w:r>
              <w:t xml:space="preserve">Any operation or set of operations performed on your personal data, whether or not by automated means, including: collection, recording, organization or structuring; storage, adaptation or alteration; retrieval, consultation or use; disclosure by transmission, dissemination, or otherwise making available; alignment or combination; restriction, erasure or destruction.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Sensitive Personal Data</w:t>
            </w:r>
          </w:p>
        </w:tc>
        <w:tc>
          <w:tcPr>
            <w:tcBorders>
              <w:right w:val="none"/>
            </w:tcBorders>
            <w:tcMar>
              <w:top w:type="dxa" w:w="80"/>
              <w:left w:type="dxa" w:w="120"/>
              <w:bottom w:type="dxa" w:w="80"/>
              <w:right w:type="dxa" w:w="120"/>
            </w:tcMar>
            <w:vAlign w:val="center"/>
          </w:tcPr>
          <w:p>
            <w:pPr>
              <w:pStyle w:val="MdTableCell"/>
            </w:pPr>
            <w:r>
              <w:t xml:space="preserve">Data revealing your racial or ethnic origin, political opinions, professional membership, genetic data, biometric data for uniquely identifying you, data concerning health, or data concerning your gender.</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Data Controller</w:t>
            </w:r>
          </w:p>
        </w:tc>
        <w:tc>
          <w:tcPr>
            <w:tcBorders>
              <w:right w:val="none"/>
            </w:tcBorders>
            <w:tcMar>
              <w:top w:type="dxa" w:w="80"/>
              <w:left w:type="dxa" w:w="120"/>
              <w:bottom w:type="dxa" w:w="80"/>
              <w:right w:type="dxa" w:w="120"/>
            </w:tcMar>
            <w:vAlign w:val="center"/>
          </w:tcPr>
          <w:p>
            <w:pPr>
              <w:pStyle w:val="MdTableCell"/>
            </w:pPr>
            <w:r>
              <w:t xml:space="preserve">The entity (Fortune Sacco) that determines the purposes and means of processing personal data.</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Data Processor</w:t>
            </w:r>
          </w:p>
        </w:tc>
        <w:tc>
          <w:tcPr>
            <w:tcBorders>
              <w:right w:val="none"/>
            </w:tcBorders>
            <w:tcMar>
              <w:top w:type="dxa" w:w="80"/>
              <w:left w:type="dxa" w:w="120"/>
              <w:bottom w:type="dxa" w:w="80"/>
              <w:right w:type="dxa" w:w="120"/>
            </w:tcMar>
            <w:vAlign w:val="center"/>
          </w:tcPr>
          <w:p>
            <w:pPr>
              <w:pStyle w:val="MdTableCell"/>
            </w:pPr>
            <w:r>
              <w:t xml:space="preserve">A third party that processes personal data on behalf of Fortune Sacco under a Data Processing Agreement.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Third Party</w:t>
            </w:r>
          </w:p>
        </w:tc>
        <w:tc>
          <w:tcPr>
            <w:tcBorders>
              <w:right w:val="none"/>
            </w:tcBorders>
            <w:tcMar>
              <w:top w:type="dxa" w:w="80"/>
              <w:left w:type="dxa" w:w="120"/>
              <w:bottom w:type="dxa" w:w="80"/>
              <w:right w:type="dxa" w:w="120"/>
            </w:tcMar>
            <w:vAlign w:val="center"/>
          </w:tcPr>
          <w:p>
            <w:pPr>
              <w:pStyle w:val="MdTableCell"/>
            </w:pPr>
            <w:r>
              <w:t xml:space="preserve">A natural or legal person, public authority, agency, or body other than you and Fortune Sacco, who under the direct authority of Fortune Sacco is authorized to process your personal data.</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You/Your(s)</w:t>
            </w:r>
          </w:p>
        </w:tc>
        <w:tc>
          <w:tcPr>
            <w:tcBorders>
              <w:right w:val="none"/>
            </w:tcBorders>
            <w:tcMar>
              <w:top w:type="dxa" w:w="80"/>
              <w:left w:type="dxa" w:w="120"/>
              <w:bottom w:type="dxa" w:w="80"/>
              <w:right w:type="dxa" w:w="120"/>
            </w:tcMar>
            <w:vAlign w:val="center"/>
          </w:tcPr>
          <w:p>
            <w:pPr>
              <w:pStyle w:val="MdTableCell"/>
            </w:pPr>
            <w:r>
              <w:t xml:space="preserve">Any person whose personal data is collected and processed by Fortune Sacco, including members, prospective members, employees, visitors, and service providers.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Data Subject</w:t>
            </w:r>
          </w:p>
        </w:tc>
        <w:tc>
          <w:tcPr>
            <w:tcBorders>
              <w:right w:val="none"/>
            </w:tcBorders>
            <w:tcMar>
              <w:top w:type="dxa" w:w="80"/>
              <w:left w:type="dxa" w:w="120"/>
              <w:bottom w:type="dxa" w:w="80"/>
              <w:right w:type="dxa" w:w="120"/>
            </w:tcMar>
            <w:vAlign w:val="center"/>
          </w:tcPr>
          <w:p>
            <w:pPr>
              <w:pStyle w:val="MdTableCell"/>
            </w:pPr>
            <w:r>
              <w:t xml:space="preserve">The individual to whom personal data relates.</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Data Breach</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A security incident resulting in the accidental or unlawful destruction, loss, alteration, unauthorized disclosure of, or access to personal data transmitted, stored, or otherwise processed.</w:t>
            </w:r>
          </w:p>
        </w:tc>
      </w:tr>
    </w:tbl>
    <w:p>
      <w:pPr>
        <w:pStyle w:val="MdHr"/>
        <w:pBdr>
          <w:bottom w:val="single" w:color="auto" w:sz="6" w:space="1"/>
        </w:pBdr>
      </w:pPr>
    </w:p>
    <w:p>
      <w:pPr>
        <w:pStyle w:val="MdSpace"/>
        <w:spacing w:before="0" w:after="60"/>
      </w:pPr>
    </w:p>
    <w:p>
      <w:pPr>
        <w:pStyle w:val="Heading2"/>
        <w:pStyle w:val="MdHeading2"/>
      </w:pPr>
      <w:r>
        <w:t xml:space="preserve">1. INTRODUCTION</w:t>
      </w:r>
    </w:p>
    <w:p>
      <w:pPr>
        <w:pStyle w:val="MdParagraph"/>
      </w:pPr>
      <w:r>
        <w:t xml:space="preserve">Fortune DT Sacco Society Ltd is committed to protecting the privacy and security of your personal data. We recognize that privacy is a fundamental right and we are dedicated to maintaining the confidentiality, integrity, and availability of your information.</w:t>
      </w:r>
    </w:p>
    <w:p>
      <w:pPr>
        <w:pStyle w:val="MdSpace"/>
        <w:spacing w:before="0" w:after="60"/>
      </w:pPr>
    </w:p>
    <w:p>
      <w:pPr>
        <w:pStyle w:val="MdParagraph"/>
      </w:pPr>
      <w:r>
        <w:t xml:space="preserve">This Privacy Policy outlines how we collect, use, process, store, and protect your personal information in compliance with:</w:t>
      </w:r>
    </w:p>
    <w:p>
      <w:pPr>
        <w:pStyle w:val="MdSpace"/>
        <w:spacing w:before="0" w:after="60"/>
      </w:pPr>
    </w:p>
    <w:p>
      <w:pPr>
        <w:pStyle w:val="MdListItem"/>
        <w:numPr>
          <w:ilvl w:val="0"/>
          <w:numId w:val="2"/>
        </w:numPr>
      </w:pPr>
      <w:r>
        <w:t xml:space="preserve">Kenya Data Protection Act, 2019</w:t>
      </w:r>
    </w:p>
    <w:p>
      <w:pPr>
        <w:pStyle w:val="MdListItem"/>
        <w:numPr>
          <w:ilvl w:val="0"/>
          <w:numId w:val="2"/>
        </w:numPr>
      </w:pPr>
      <w:r>
        <w:t xml:space="preserve">Data Protection (General) Regulations, 2021</w:t>
      </w:r>
    </w:p>
    <w:p>
      <w:pPr>
        <w:pStyle w:val="MdListItem"/>
        <w:numPr>
          <w:ilvl w:val="0"/>
          <w:numId w:val="2"/>
        </w:numPr>
      </w:pPr>
      <w:r>
        <w:t xml:space="preserve">Data Protection (Registration of Data Controllers and Processors) Regulations, 2021</w:t>
      </w:r>
    </w:p>
    <w:p>
      <w:pPr>
        <w:pStyle w:val="MdListItem"/>
        <w:numPr>
          <w:ilvl w:val="0"/>
          <w:numId w:val="2"/>
        </w:numPr>
      </w:pPr>
      <w:r>
        <w:t xml:space="preserve">Sacco Societies Act, 2008</w:t>
      </w:r>
    </w:p>
    <w:p>
      <w:pPr>
        <w:pStyle w:val="MdListItem"/>
        <w:numPr>
          <w:ilvl w:val="0"/>
          <w:numId w:val="2"/>
        </w:numPr>
      </w:pPr>
      <w:r>
        <w:t xml:space="preserve">SASRA Regulations and Guidelines</w:t>
      </w:r>
    </w:p>
    <w:p>
      <w:pPr>
        <w:pStyle w:val="MdListItem"/>
        <w:numPr>
          <w:ilvl w:val="0"/>
          <w:numId w:val="2"/>
        </w:numPr>
      </w:pPr>
      <w:r>
        <w:t xml:space="preserve">Computer Misuse and Cybercrimes Act, 2018</w:t>
      </w:r>
    </w:p>
    <w:p>
      <w:pPr>
        <w:pStyle w:val="MdListItem"/>
        <w:numPr>
          <w:ilvl w:val="0"/>
          <w:numId w:val="2"/>
        </w:numPr>
      </w:pPr>
      <w:r>
        <w:t xml:space="preserve">National ICT and Cybersecurity Frameworks</w:t>
      </w:r>
    </w:p>
    <w:p>
      <w:pPr>
        <w:pStyle w:val="MdListItem"/>
        <w:numPr>
          <w:ilvl w:val="0"/>
          <w:numId w:val="2"/>
        </w:numPr>
      </w:pPr>
      <w:r>
        <w:t xml:space="preserve">Anti-Money Laundering (AML) and Know Your Customer (KYC) requirements</w:t>
      </w:r>
    </w:p>
    <w:p>
      <w:pPr>
        <w:pStyle w:val="MdSpace"/>
        <w:spacing w:before="0" w:after="60"/>
      </w:pPr>
    </w:p>
    <w:p>
      <w:pPr>
        <w:pStyle w:val="MdParagraph"/>
      </w:pPr>
      <w:r>
        <w:t xml:space="preserve">This policy applies to all personal data we process through our:</w:t>
      </w:r>
    </w:p>
    <w:p>
      <w:pPr>
        <w:pStyle w:val="MdSpace"/>
        <w:spacing w:before="0" w:after="60"/>
      </w:pPr>
    </w:p>
    <w:p>
      <w:pPr>
        <w:pStyle w:val="MdListItem"/>
        <w:numPr>
          <w:ilvl w:val="0"/>
          <w:numId w:val="2"/>
        </w:numPr>
      </w:pPr>
      <w:r>
        <w:t xml:space="preserve">Core Banking Systems</w:t>
      </w:r>
    </w:p>
    <w:p>
      <w:pPr>
        <w:pStyle w:val="MdListItem"/>
        <w:numPr>
          <w:ilvl w:val="0"/>
          <w:numId w:val="2"/>
        </w:numPr>
      </w:pPr>
      <w:r>
        <w:t xml:space="preserve">Mobile Banking Platforms</w:t>
      </w:r>
    </w:p>
    <w:p>
      <w:pPr>
        <w:pStyle w:val="MdListItem"/>
        <w:numPr>
          <w:ilvl w:val="0"/>
          <w:numId w:val="2"/>
        </w:numPr>
      </w:pPr>
      <w:r>
        <w:t xml:space="preserve">SMS Platforms and messaging services</w:t>
      </w:r>
    </w:p>
    <w:p>
      <w:pPr>
        <w:pStyle w:val="MdListItem"/>
        <w:numPr>
          <w:ilvl w:val="0"/>
          <w:numId w:val="2"/>
        </w:numPr>
      </w:pPr>
      <w:r>
        <w:t xml:space="preserve">Member Portals and online services</w:t>
      </w:r>
    </w:p>
    <w:p>
      <w:pPr>
        <w:pStyle w:val="MdListItem"/>
        <w:numPr>
          <w:ilvl w:val="0"/>
          <w:numId w:val="2"/>
        </w:numPr>
      </w:pPr>
      <w:r>
        <w:t xml:space="preserve">CCTV surveillance systems</w:t>
      </w:r>
    </w:p>
    <w:p>
      <w:pPr>
        <w:pStyle w:val="MdListItem"/>
        <w:numPr>
          <w:ilvl w:val="0"/>
          <w:numId w:val="2"/>
        </w:numPr>
      </w:pPr>
      <w:r>
        <w:t xml:space="preserve">Physical branch locations</w:t>
      </w:r>
    </w:p>
    <w:p>
      <w:pPr>
        <w:pStyle w:val="MdListItem"/>
        <w:numPr>
          <w:ilvl w:val="0"/>
          <w:numId w:val="2"/>
        </w:numPr>
      </w:pPr>
      <w:r>
        <w:t xml:space="preserve">Website and digital channels</w:t>
      </w:r>
    </w:p>
    <w:p>
      <w:pPr>
        <w:pStyle w:val="MdListItem"/>
        <w:numPr>
          <w:ilvl w:val="0"/>
          <w:numId w:val="2"/>
        </w:numPr>
      </w:pPr>
      <w:r>
        <w:t xml:space="preserve">Email and communication systems</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2. COLLECTION OF PERSONAL DATA</w:t>
      </w:r>
    </w:p>
    <w:p>
      <w:pPr>
        <w:pStyle w:val="Heading3"/>
        <w:pStyle w:val="MdHeading3"/>
      </w:pPr>
      <w:r>
        <w:t xml:space="preserve">2.1 How We Collect Your Data</w:t>
      </w:r>
    </w:p>
    <w:p>
      <w:pPr>
        <w:pStyle w:val="MdParagraph"/>
      </w:pPr>
      <w:r>
        <w:t xml:space="preserve">Fortune Sacco collects your personal data both directly and indirectly in accordance with applicable law. We collect your personal information with your knowledge and consent, except in cases where prior consent cannot be obtained for legal reasons and the processing of the data is permitted by law.</w:t>
      </w:r>
    </w:p>
    <w:p>
      <w:pPr>
        <w:pStyle w:val="MdSpace"/>
        <w:spacing w:before="0" w:after="60"/>
      </w:pPr>
    </w:p>
    <w:p>
      <w:pPr>
        <w:pStyle w:val="MdParagraph"/>
      </w:pPr>
      <w:r>
        <w:t xml:space="preserve">We collect personal data through various platforms and methods:</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Collection Method</w:t>
            </w:r>
          </w:p>
        </w:tc>
        <w:tc>
          <w:tcPr>
            <w:tcMar>
              <w:top w:type="dxa" w:w="100"/>
              <w:left w:type="dxa" w:w="120"/>
              <w:bottom w:type="dxa" w:w="100"/>
              <w:right w:type="dxa" w:w="120"/>
            </w:tcMar>
            <w:vAlign w:val="center"/>
          </w:tcPr>
          <w:p>
            <w:pPr>
              <w:pStyle w:val="MdTableHeader"/>
            </w:pPr>
            <w:r>
              <w:rPr>
                <w:rStyle w:val="MdStrong"/>
                <w:b/>
                <w:bCs/>
              </w:rPr>
              <w:t xml:space="preserve">Data Collected</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Purpose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Direct Collection</w:t>
            </w:r>
          </w:p>
        </w:tc>
        <w:tc>
          <w:tcPr>
            <w:tcMar>
              <w:top w:type="dxa" w:w="80"/>
              <w:left w:type="dxa" w:w="120"/>
              <w:bottom w:type="dxa" w:w="80"/>
              <w:right w:type="dxa" w:w="120"/>
            </w:tcMar>
            <w:vAlign w:val="center"/>
          </w:tcPr>
          <w:p>
            <w:pPr>
              <w:pStyle w:val="MdTableCell"/>
            </w:pPr>
            <w:r>
              <w:t xml:space="preserve">PIN registration forms, membership applications, loan applications, KYC documentation</w:t>
            </w:r>
          </w:p>
        </w:tc>
        <w:tc>
          <w:tcPr>
            <w:tcBorders>
              <w:right w:val="none"/>
            </w:tcBorders>
            <w:tcMar>
              <w:top w:type="dxa" w:w="80"/>
              <w:left w:type="dxa" w:w="120"/>
              <w:bottom w:type="dxa" w:w="80"/>
              <w:right w:type="dxa" w:w="120"/>
            </w:tcMar>
            <w:vAlign w:val="center"/>
          </w:tcPr>
          <w:p>
            <w:pPr>
              <w:pStyle w:val="MdTableCell"/>
            </w:pPr>
            <w:r>
              <w:t xml:space="preserve">Account opening, member verification, credit assessment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Digital Platforms</w:t>
            </w:r>
          </w:p>
        </w:tc>
        <w:tc>
          <w:tcPr>
            <w:tcMar>
              <w:top w:type="dxa" w:w="80"/>
              <w:left w:type="dxa" w:w="120"/>
              <w:bottom w:type="dxa" w:w="80"/>
              <w:right w:type="dxa" w:w="120"/>
            </w:tcMar>
            <w:vAlign w:val="center"/>
          </w:tcPr>
          <w:p>
            <w:pPr>
              <w:pStyle w:val="MdTableCell"/>
            </w:pPr>
            <w:r>
              <w:t xml:space="preserve">iTax-like systems, Core Banking System, Mobile Banking App, Member Portal</w:t>
            </w:r>
          </w:p>
        </w:tc>
        <w:tc>
          <w:tcPr>
            <w:tcBorders>
              <w:right w:val="none"/>
            </w:tcBorders>
            <w:tcMar>
              <w:top w:type="dxa" w:w="80"/>
              <w:left w:type="dxa" w:w="120"/>
              <w:bottom w:type="dxa" w:w="80"/>
              <w:right w:type="dxa" w:w="120"/>
            </w:tcMar>
            <w:vAlign w:val="center"/>
          </w:tcPr>
          <w:p>
            <w:pPr>
              <w:pStyle w:val="MdTableCell"/>
            </w:pPr>
            <w:r>
              <w:t xml:space="preserve">Transaction processing, account management, service delivery</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Automated Systems</w:t>
            </w:r>
          </w:p>
        </w:tc>
        <w:tc>
          <w:tcPr>
            <w:tcMar>
              <w:top w:type="dxa" w:w="80"/>
              <w:left w:type="dxa" w:w="120"/>
              <w:bottom w:type="dxa" w:w="80"/>
              <w:right w:type="dxa" w:w="120"/>
            </w:tcMar>
            <w:vAlign w:val="center"/>
          </w:tcPr>
          <w:p>
            <w:pPr>
              <w:pStyle w:val="MdTableCell"/>
            </w:pPr>
            <w:r>
              <w:t xml:space="preserve">CCTV surveillance recordings, access control logs, ATM transactions, digital device identifiers</w:t>
            </w:r>
          </w:p>
        </w:tc>
        <w:tc>
          <w:tcPr>
            <w:tcBorders>
              <w:right w:val="none"/>
            </w:tcBorders>
            <w:tcMar>
              <w:top w:type="dxa" w:w="80"/>
              <w:left w:type="dxa" w:w="120"/>
              <w:bottom w:type="dxa" w:w="80"/>
              <w:right w:type="dxa" w:w="120"/>
            </w:tcMar>
            <w:vAlign w:val="center"/>
          </w:tcPr>
          <w:p>
            <w:pPr>
              <w:pStyle w:val="MdTableCell"/>
            </w:pPr>
            <w:r>
              <w:t xml:space="preserve">Security, fraud prevention, audit trails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Registers and Records</w:t>
            </w:r>
          </w:p>
        </w:tc>
        <w:tc>
          <w:tcPr>
            <w:tcMar>
              <w:top w:type="dxa" w:w="80"/>
              <w:left w:type="dxa" w:w="120"/>
              <w:bottom w:type="dxa" w:w="80"/>
              <w:right w:type="dxa" w:w="120"/>
            </w:tcMar>
            <w:vAlign w:val="center"/>
          </w:tcPr>
          <w:p>
            <w:pPr>
              <w:pStyle w:val="MdTableCell"/>
            </w:pPr>
            <w:r>
              <w:t xml:space="preserve">Physical attendance records, transaction logs, correspondence files</w:t>
            </w:r>
          </w:p>
        </w:tc>
        <w:tc>
          <w:tcPr>
            <w:tcBorders>
              <w:right w:val="none"/>
            </w:tcBorders>
            <w:tcMar>
              <w:top w:type="dxa" w:w="80"/>
              <w:left w:type="dxa" w:w="120"/>
              <w:bottom w:type="dxa" w:w="80"/>
              <w:right w:type="dxa" w:w="120"/>
            </w:tcMar>
            <w:vAlign w:val="center"/>
          </w:tcPr>
          <w:p>
            <w:pPr>
              <w:pStyle w:val="MdTableCell"/>
            </w:pPr>
            <w:r>
              <w:t xml:space="preserve">Regulatory compliance, audit trails, historical records</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Third-Party Sources</w:t>
            </w:r>
          </w:p>
        </w:tc>
        <w:tc>
          <w:tcPr>
            <w:tcBorders>
              <w:bottom w:val="single" w:color="E1E4E8" w:sz="4"/>
            </w:tcBorders>
            <w:tcMar>
              <w:top w:type="dxa" w:w="80"/>
              <w:left w:type="dxa" w:w="120"/>
              <w:bottom w:type="dxa" w:w="80"/>
              <w:right w:type="dxa" w:w="120"/>
            </w:tcMar>
            <w:vAlign w:val="center"/>
          </w:tcPr>
          <w:p>
            <w:pPr>
              <w:pStyle w:val="MdTableCell"/>
            </w:pPr>
            <w:r>
              <w:t xml:space="preserve">Credit Reference Bureau (CRB) data, employer verification, bank statements</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Credit assessment, income verification, AML/KYC compliance</w:t>
            </w:r>
          </w:p>
        </w:tc>
      </w:tr>
    </w:tbl>
    <w:p>
      <w:pPr>
        <w:pStyle w:val="Heading3"/>
        <w:pStyle w:val="MdHeading3"/>
      </w:pPr>
      <w:r>
        <w:t xml:space="preserve">2.2 Categories of Personal Data We Collect</w:t>
      </w:r>
    </w:p>
    <w:p>
      <w:pPr>
        <w:pStyle w:val="Heading4"/>
        <w:pStyle w:val="MdHeading4"/>
      </w:pPr>
      <w:r>
        <w:t xml:space="preserve">2.2.1 Identification Data</w:t>
      </w:r>
    </w:p>
    <w:p>
      <w:pPr>
        <w:pStyle w:val="MdListItem"/>
        <w:numPr>
          <w:ilvl w:val="0"/>
          <w:numId w:val="2"/>
        </w:numPr>
      </w:pPr>
      <w:r>
        <w:t xml:space="preserve">Full name</w:t>
      </w:r>
    </w:p>
    <w:p>
      <w:pPr>
        <w:pStyle w:val="MdListItem"/>
        <w:numPr>
          <w:ilvl w:val="0"/>
          <w:numId w:val="2"/>
        </w:numPr>
      </w:pPr>
      <w:r>
        <w:t xml:space="preserve">National Identification number (ID card, passport, alien ID)</w:t>
      </w:r>
    </w:p>
    <w:p>
      <w:pPr>
        <w:pStyle w:val="MdListItem"/>
        <w:numPr>
          <w:ilvl w:val="0"/>
          <w:numId w:val="2"/>
        </w:numPr>
      </w:pPr>
      <w:r>
        <w:t xml:space="preserve">KRA Personal Identification Number (PIN)</w:t>
      </w:r>
    </w:p>
    <w:p>
      <w:pPr>
        <w:pStyle w:val="MdListItem"/>
        <w:numPr>
          <w:ilvl w:val="0"/>
          <w:numId w:val="2"/>
        </w:numPr>
      </w:pPr>
      <w:r>
        <w:t xml:space="preserve">Date and place of birth</w:t>
      </w:r>
    </w:p>
    <w:p>
      <w:pPr>
        <w:pStyle w:val="MdListItem"/>
        <w:numPr>
          <w:ilvl w:val="0"/>
          <w:numId w:val="2"/>
        </w:numPr>
      </w:pPr>
      <w:r>
        <w:t xml:space="preserve">Gender</w:t>
      </w:r>
    </w:p>
    <w:p>
      <w:pPr>
        <w:pStyle w:val="MdListItem"/>
        <w:numPr>
          <w:ilvl w:val="0"/>
          <w:numId w:val="2"/>
        </w:numPr>
      </w:pPr>
      <w:r>
        <w:t xml:space="preserve">Photograph</w:t>
      </w:r>
    </w:p>
    <w:p>
      <w:pPr>
        <w:pStyle w:val="MdListItem"/>
        <w:numPr>
          <w:ilvl w:val="0"/>
          <w:numId w:val="2"/>
        </w:numPr>
      </w:pPr>
      <w:r>
        <w:t xml:space="preserve">Signature</w:t>
      </w:r>
    </w:p>
    <w:p>
      <w:pPr>
        <w:pStyle w:val="MdSpace"/>
        <w:spacing w:before="0" w:after="60"/>
      </w:pPr>
    </w:p>
    <w:p>
      <w:pPr>
        <w:pStyle w:val="Heading4"/>
        <w:pStyle w:val="MdHeading4"/>
      </w:pPr>
      <w:r>
        <w:t xml:space="preserve">2.2.2 Contact Information</w:t>
      </w:r>
    </w:p>
    <w:p>
      <w:pPr>
        <w:pStyle w:val="MdListItem"/>
        <w:numPr>
          <w:ilvl w:val="0"/>
          <w:numId w:val="2"/>
        </w:numPr>
      </w:pPr>
      <w:r>
        <w:t xml:space="preserve">Physical address (residential and postal)</w:t>
      </w:r>
    </w:p>
    <w:p>
      <w:pPr>
        <w:pStyle w:val="MdListItem"/>
        <w:numPr>
          <w:ilvl w:val="0"/>
          <w:numId w:val="2"/>
        </w:numPr>
      </w:pPr>
      <w:r>
        <w:t xml:space="preserve">Email address</w:t>
      </w:r>
    </w:p>
    <w:p>
      <w:pPr>
        <w:pStyle w:val="MdListItem"/>
        <w:numPr>
          <w:ilvl w:val="0"/>
          <w:numId w:val="2"/>
        </w:numPr>
      </w:pPr>
      <w:r>
        <w:t xml:space="preserve">Mobile phone number</w:t>
      </w:r>
    </w:p>
    <w:p>
      <w:pPr>
        <w:pStyle w:val="MdListItem"/>
        <w:numPr>
          <w:ilvl w:val="0"/>
          <w:numId w:val="2"/>
        </w:numPr>
      </w:pPr>
      <w:r>
        <w:t xml:space="preserve">Telephone number</w:t>
      </w:r>
    </w:p>
    <w:p>
      <w:pPr>
        <w:pStyle w:val="MdListItem"/>
        <w:numPr>
          <w:ilvl w:val="0"/>
          <w:numId w:val="2"/>
        </w:numPr>
      </w:pPr>
      <w:r>
        <w:t xml:space="preserve">Location data (GPS coordinates where applicable)</w:t>
      </w:r>
    </w:p>
    <w:p>
      <w:pPr>
        <w:pStyle w:val="MdSpace"/>
        <w:spacing w:before="0" w:after="60"/>
      </w:pPr>
    </w:p>
    <w:p>
      <w:pPr>
        <w:pStyle w:val="Heading4"/>
        <w:pStyle w:val="MdHeading4"/>
      </w:pPr>
      <w:r>
        <w:t xml:space="preserve">2.2.3 Financial Data</w:t>
      </w:r>
    </w:p>
    <w:p>
      <w:pPr>
        <w:pStyle w:val="MdListItem"/>
        <w:numPr>
          <w:ilvl w:val="0"/>
          <w:numId w:val="2"/>
        </w:numPr>
      </w:pPr>
      <w:r>
        <w:t xml:space="preserve">Bank account details and account numbers</w:t>
      </w:r>
    </w:p>
    <w:p>
      <w:pPr>
        <w:pStyle w:val="MdListItem"/>
        <w:numPr>
          <w:ilvl w:val="0"/>
          <w:numId w:val="2"/>
        </w:numPr>
      </w:pPr>
      <w:r>
        <w:t xml:space="preserve">Mobile money numbers and digital wallet information</w:t>
      </w:r>
    </w:p>
    <w:p>
      <w:pPr>
        <w:pStyle w:val="MdListItem"/>
        <w:numPr>
          <w:ilvl w:val="0"/>
          <w:numId w:val="2"/>
        </w:numPr>
      </w:pPr>
      <w:r>
        <w:t xml:space="preserve">Income details and salary information</w:t>
      </w:r>
    </w:p>
    <w:p>
      <w:pPr>
        <w:pStyle w:val="MdListItem"/>
        <w:numPr>
          <w:ilvl w:val="0"/>
          <w:numId w:val="2"/>
        </w:numPr>
      </w:pPr>
      <w:r>
        <w:t xml:space="preserve">Credit history and credit scores</w:t>
      </w:r>
    </w:p>
    <w:p>
      <w:pPr>
        <w:pStyle w:val="MdListItem"/>
        <w:numPr>
          <w:ilvl w:val="0"/>
          <w:numId w:val="2"/>
        </w:numPr>
      </w:pPr>
      <w:r>
        <w:t xml:space="preserve">Loan information and borrowing history</w:t>
      </w:r>
    </w:p>
    <w:p>
      <w:pPr>
        <w:pStyle w:val="MdListItem"/>
        <w:numPr>
          <w:ilvl w:val="0"/>
          <w:numId w:val="2"/>
        </w:numPr>
      </w:pPr>
      <w:r>
        <w:t xml:space="preserve">Transaction records and payment history</w:t>
      </w:r>
    </w:p>
    <w:p>
      <w:pPr>
        <w:pStyle w:val="MdListItem"/>
        <w:numPr>
          <w:ilvl w:val="0"/>
          <w:numId w:val="2"/>
        </w:numPr>
      </w:pPr>
      <w:r>
        <w:t xml:space="preserve">Savings and investment details</w:t>
      </w:r>
    </w:p>
    <w:p>
      <w:pPr>
        <w:pStyle w:val="MdListItem"/>
        <w:numPr>
          <w:ilvl w:val="0"/>
          <w:numId w:val="2"/>
        </w:numPr>
      </w:pPr>
      <w:r>
        <w:t xml:space="preserve">Property and asset information</w:t>
      </w:r>
    </w:p>
    <w:p>
      <w:pPr>
        <w:pStyle w:val="MdSpace"/>
        <w:spacing w:before="0" w:after="60"/>
      </w:pPr>
    </w:p>
    <w:p>
      <w:pPr>
        <w:pStyle w:val="Heading4"/>
        <w:pStyle w:val="MdHeading4"/>
      </w:pPr>
      <w:r>
        <w:t xml:space="preserve">2.2.4 Employment Data</w:t>
      </w:r>
    </w:p>
    <w:p>
      <w:pPr>
        <w:pStyle w:val="MdListItem"/>
        <w:numPr>
          <w:ilvl w:val="0"/>
          <w:numId w:val="2"/>
        </w:numPr>
      </w:pPr>
      <w:r>
        <w:t xml:space="preserve">Employer name and details</w:t>
      </w:r>
    </w:p>
    <w:p>
      <w:pPr>
        <w:pStyle w:val="MdListItem"/>
        <w:numPr>
          <w:ilvl w:val="0"/>
          <w:numId w:val="2"/>
        </w:numPr>
      </w:pPr>
      <w:r>
        <w:t xml:space="preserve">Occupation and job title</w:t>
      </w:r>
    </w:p>
    <w:p>
      <w:pPr>
        <w:pStyle w:val="MdListItem"/>
        <w:numPr>
          <w:ilvl w:val="0"/>
          <w:numId w:val="2"/>
        </w:numPr>
      </w:pPr>
      <w:r>
        <w:t xml:space="preserve">Payroll number and employment status</w:t>
      </w:r>
    </w:p>
    <w:p>
      <w:pPr>
        <w:pStyle w:val="MdListItem"/>
        <w:numPr>
          <w:ilvl w:val="0"/>
          <w:numId w:val="2"/>
        </w:numPr>
      </w:pPr>
      <w:r>
        <w:t xml:space="preserve">Employment history</w:t>
      </w:r>
    </w:p>
    <w:p>
      <w:pPr>
        <w:pStyle w:val="MdListItem"/>
        <w:numPr>
          <w:ilvl w:val="0"/>
          <w:numId w:val="2"/>
        </w:numPr>
      </w:pPr>
      <w:r>
        <w:t xml:space="preserve">Professional qualifications and licenses</w:t>
      </w:r>
    </w:p>
    <w:p>
      <w:pPr>
        <w:pStyle w:val="MdSpace"/>
        <w:spacing w:before="0" w:after="60"/>
      </w:pPr>
    </w:p>
    <w:p>
      <w:pPr>
        <w:pStyle w:val="Heading4"/>
        <w:pStyle w:val="MdHeading4"/>
      </w:pPr>
      <w:r>
        <w:t xml:space="preserve">2.2.5 Family and Dependant Information</w:t>
      </w:r>
    </w:p>
    <w:p>
      <w:pPr>
        <w:pStyle w:val="MdListItem"/>
        <w:numPr>
          <w:ilvl w:val="0"/>
          <w:numId w:val="2"/>
        </w:numPr>
      </w:pPr>
      <w:r>
        <w:t xml:space="preserve">Marital status</w:t>
      </w:r>
    </w:p>
    <w:p>
      <w:pPr>
        <w:pStyle w:val="MdListItem"/>
        <w:numPr>
          <w:ilvl w:val="0"/>
          <w:numId w:val="2"/>
        </w:numPr>
      </w:pPr>
      <w:r>
        <w:t xml:space="preserve">Spouse or partner details</w:t>
      </w:r>
    </w:p>
    <w:p>
      <w:pPr>
        <w:pStyle w:val="MdListItem"/>
        <w:numPr>
          <w:ilvl w:val="0"/>
          <w:numId w:val="2"/>
        </w:numPr>
      </w:pPr>
      <w:r>
        <w:t xml:space="preserve">Children and dependant information</w:t>
      </w:r>
    </w:p>
    <w:p>
      <w:pPr>
        <w:pStyle w:val="MdListItem"/>
        <w:numPr>
          <w:ilvl w:val="0"/>
          <w:numId w:val="2"/>
        </w:numPr>
      </w:pPr>
      <w:r>
        <w:t xml:space="preserve">Emergency contact details</w:t>
      </w:r>
    </w:p>
    <w:p>
      <w:pPr>
        <w:pStyle w:val="MdListItem"/>
        <w:numPr>
          <w:ilvl w:val="0"/>
          <w:numId w:val="2"/>
        </w:numPr>
      </w:pPr>
      <w:r>
        <w:t xml:space="preserve">Beneficiary information</w:t>
      </w:r>
    </w:p>
    <w:p>
      <w:pPr>
        <w:pStyle w:val="MdSpace"/>
        <w:spacing w:before="0" w:after="60"/>
      </w:pPr>
    </w:p>
    <w:p>
      <w:pPr>
        <w:pStyle w:val="Heading4"/>
        <w:pStyle w:val="MdHeading4"/>
      </w:pPr>
      <w:r>
        <w:t xml:space="preserve">2.2.6 Technical Data</w:t>
      </w:r>
    </w:p>
    <w:p>
      <w:pPr>
        <w:pStyle w:val="MdListItem"/>
        <w:numPr>
          <w:ilvl w:val="0"/>
          <w:numId w:val="2"/>
        </w:numPr>
      </w:pPr>
      <w:r>
        <w:t xml:space="preserve">Internet Protocol (IP) address</w:t>
      </w:r>
    </w:p>
    <w:p>
      <w:pPr>
        <w:pStyle w:val="MdListItem"/>
        <w:numPr>
          <w:ilvl w:val="0"/>
          <w:numId w:val="2"/>
        </w:numPr>
      </w:pPr>
      <w:r>
        <w:t xml:space="preserve">Browser type and version</w:t>
      </w:r>
    </w:p>
    <w:p>
      <w:pPr>
        <w:pStyle w:val="MdListItem"/>
        <w:numPr>
          <w:ilvl w:val="0"/>
          <w:numId w:val="2"/>
        </w:numPr>
      </w:pPr>
      <w:r>
        <w:t xml:space="preserve">Device information (smartphone, computer, tablet)</w:t>
      </w:r>
    </w:p>
    <w:p>
      <w:pPr>
        <w:pStyle w:val="MdListItem"/>
        <w:numPr>
          <w:ilvl w:val="0"/>
          <w:numId w:val="2"/>
        </w:numPr>
      </w:pPr>
      <w:r>
        <w:t xml:space="preserve">Operating system</w:t>
      </w:r>
    </w:p>
    <w:p>
      <w:pPr>
        <w:pStyle w:val="MdListItem"/>
        <w:numPr>
          <w:ilvl w:val="0"/>
          <w:numId w:val="2"/>
        </w:numPr>
      </w:pPr>
      <w:r>
        <w:t xml:space="preserve">Usage data and access logs</w:t>
      </w:r>
    </w:p>
    <w:p>
      <w:pPr>
        <w:pStyle w:val="MdListItem"/>
        <w:numPr>
          <w:ilvl w:val="0"/>
          <w:numId w:val="2"/>
        </w:numPr>
      </w:pPr>
      <w:r>
        <w:t xml:space="preserve">Cookies and tracking identifiers</w:t>
      </w:r>
    </w:p>
    <w:p>
      <w:pPr>
        <w:pStyle w:val="MdListItem"/>
        <w:numPr>
          <w:ilvl w:val="0"/>
          <w:numId w:val="2"/>
        </w:numPr>
      </w:pPr>
      <w:r>
        <w:t xml:space="preserve">Digital device identifiers</w:t>
      </w:r>
    </w:p>
    <w:p>
      <w:pPr>
        <w:pStyle w:val="MdSpace"/>
        <w:spacing w:before="0" w:after="60"/>
      </w:pPr>
    </w:p>
    <w:p>
      <w:pPr>
        <w:pStyle w:val="Heading4"/>
        <w:pStyle w:val="MdHeading4"/>
      </w:pPr>
      <w:r>
        <w:t xml:space="preserve">2.2.7 Biometric Data</w:t>
      </w:r>
    </w:p>
    <w:p>
      <w:pPr>
        <w:pStyle w:val="MdListItem"/>
        <w:numPr>
          <w:ilvl w:val="0"/>
          <w:numId w:val="2"/>
        </w:numPr>
      </w:pPr>
      <w:r>
        <w:t xml:space="preserve">Fingerprints (for authentication and fraud prevention)</w:t>
      </w:r>
    </w:p>
    <w:p>
      <w:pPr>
        <w:pStyle w:val="MdListItem"/>
        <w:numPr>
          <w:ilvl w:val="0"/>
          <w:numId w:val="2"/>
        </w:numPr>
      </w:pPr>
      <w:r>
        <w:t xml:space="preserve">Facial recognition data (for authentication and security)</w:t>
      </w:r>
    </w:p>
    <w:p>
      <w:pPr>
        <w:pStyle w:val="MdListItem"/>
        <w:numPr>
          <w:ilvl w:val="0"/>
          <w:numId w:val="2"/>
        </w:numPr>
      </w:pPr>
      <w:r>
        <w:t xml:space="preserve">Voice recognition data (where applicable for call center authentication)</w:t>
      </w:r>
    </w:p>
    <w:p>
      <w:pPr>
        <w:pStyle w:val="MdSpace"/>
        <w:spacing w:before="0" w:after="60"/>
      </w:pPr>
    </w:p>
    <w:p>
      <w:pPr>
        <w:pStyle w:val="Heading4"/>
        <w:pStyle w:val="MdHeading4"/>
      </w:pPr>
      <w:r>
        <w:t xml:space="preserve">2.2.8 Sensitive Personal Data</w:t>
      </w:r>
    </w:p>
    <w:p>
      <w:pPr>
        <w:pStyle w:val="MdListItem"/>
        <w:numPr>
          <w:ilvl w:val="0"/>
          <w:numId w:val="2"/>
        </w:numPr>
      </w:pPr>
      <w:r>
        <w:t xml:space="preserve">Health information (where relevant for insurance or credit products)</w:t>
      </w:r>
    </w:p>
    <w:p>
      <w:pPr>
        <w:pStyle w:val="MdListItem"/>
        <w:numPr>
          <w:ilvl w:val="0"/>
          <w:numId w:val="2"/>
        </w:numPr>
      </w:pPr>
      <w:r>
        <w:t xml:space="preserve">Disability status</w:t>
      </w:r>
    </w:p>
    <w:p>
      <w:pPr>
        <w:pStyle w:val="MdListItem"/>
        <w:numPr>
          <w:ilvl w:val="0"/>
          <w:numId w:val="2"/>
        </w:numPr>
      </w:pPr>
      <w:r>
        <w:t xml:space="preserve">Ethnic or racial origin (if voluntarily provided)</w:t>
      </w:r>
    </w:p>
    <w:p>
      <w:pPr>
        <w:pStyle w:val="MdListItem"/>
        <w:numPr>
          <w:ilvl w:val="0"/>
          <w:numId w:val="2"/>
        </w:numPr>
      </w:pPr>
      <w:r>
        <w:t xml:space="preserve">Political opinions or affiliations</w:t>
      </w:r>
    </w:p>
    <w:p>
      <w:pPr>
        <w:pStyle w:val="MdListItem"/>
        <w:numPr>
          <w:ilvl w:val="0"/>
          <w:numId w:val="2"/>
        </w:numPr>
      </w:pPr>
      <w:r>
        <w:t xml:space="preserve">Religious beliefs or practices</w:t>
      </w:r>
    </w:p>
    <w:p>
      <w:pPr>
        <w:pStyle w:val="MdListItem"/>
        <w:numPr>
          <w:ilvl w:val="0"/>
          <w:numId w:val="2"/>
        </w:numPr>
      </w:pPr>
      <w:r>
        <w:t xml:space="preserve">Trade union membership</w:t>
      </w:r>
    </w:p>
    <w:p>
      <w:pPr>
        <w:pStyle w:val="MdListItem"/>
        <w:numPr>
          <w:ilvl w:val="0"/>
          <w:numId w:val="2"/>
        </w:numPr>
      </w:pPr>
      <w:r>
        <w:t xml:space="preserve">Genetic data (if applicable)</w:t>
      </w:r>
    </w:p>
    <w:p>
      <w:pPr>
        <w:pStyle w:val="MdSpace"/>
        <w:spacing w:before="0" w:after="60"/>
      </w:pPr>
    </w:p>
    <w:p>
      <w:pPr>
        <w:pStyle w:val="Heading4"/>
        <w:pStyle w:val="MdHeading4"/>
      </w:pPr>
      <w:r>
        <w:t xml:space="preserve">2.2.9 Non-Personal Data</w:t>
      </w:r>
    </w:p>
    <w:p>
      <w:pPr>
        <w:pStyle w:val="MdParagraph"/>
      </w:pPr>
      <w:r>
        <w:t xml:space="preserve">Fortune Sacco also collects information that does not personally identify you, such as:</w:t>
      </w:r>
    </w:p>
    <w:p>
      <w:pPr>
        <w:pStyle w:val="MdSpace"/>
        <w:spacing w:before="0" w:after="60"/>
      </w:pPr>
    </w:p>
    <w:p>
      <w:pPr>
        <w:pStyle w:val="MdListItem"/>
        <w:numPr>
          <w:ilvl w:val="0"/>
          <w:numId w:val="2"/>
        </w:numPr>
      </w:pPr>
      <w:r>
        <w:t xml:space="preserve">Anonymous usage data and analytics</w:t>
      </w:r>
    </w:p>
    <w:p>
      <w:pPr>
        <w:pStyle w:val="MdListItem"/>
        <w:numPr>
          <w:ilvl w:val="0"/>
          <w:numId w:val="2"/>
        </w:numPr>
      </w:pPr>
      <w:r>
        <w:t xml:space="preserve">General demographic information</w:t>
      </w:r>
    </w:p>
    <w:p>
      <w:pPr>
        <w:pStyle w:val="MdListItem"/>
        <w:numPr>
          <w:ilvl w:val="0"/>
          <w:numId w:val="2"/>
        </w:numPr>
      </w:pPr>
      <w:r>
        <w:t xml:space="preserve">Referring and exit pages and URLs</w:t>
      </w:r>
    </w:p>
    <w:p>
      <w:pPr>
        <w:pStyle w:val="MdListItem"/>
        <w:numPr>
          <w:ilvl w:val="0"/>
          <w:numId w:val="2"/>
        </w:numPr>
      </w:pPr>
      <w:r>
        <w:t xml:space="preserve">Platform types and preferences</w:t>
      </w:r>
    </w:p>
    <w:p>
      <w:pPr>
        <w:pStyle w:val="MdListItem"/>
        <w:numPr>
          <w:ilvl w:val="0"/>
          <w:numId w:val="2"/>
        </w:numPr>
      </w:pPr>
      <w:r>
        <w:t xml:space="preserve">Number of clicks and page interactions</w:t>
      </w:r>
    </w:p>
    <w:p>
      <w:pPr>
        <w:pStyle w:val="MdListItem"/>
        <w:numPr>
          <w:ilvl w:val="0"/>
          <w:numId w:val="2"/>
        </w:numPr>
      </w:pPr>
      <w:r>
        <w:t xml:space="preserve">Aggregate traffic patterns</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3. LAWFUL BASIS AND PURPOSES OF PROCESSING</w:t>
      </w:r>
    </w:p>
    <w:p>
      <w:pPr>
        <w:pStyle w:val="Heading3"/>
        <w:pStyle w:val="MdHeading3"/>
      </w:pPr>
      <w:r>
        <w:t xml:space="preserve">3.1 Lawful Basis for Processing</w:t>
      </w:r>
    </w:p>
    <w:p>
      <w:pPr>
        <w:pStyle w:val="MdParagraph"/>
      </w:pPr>
      <w:r>
        <w:t xml:space="preserve">Fortune Sacco processes your personal data based on one or more of the following lawful grounds as permitted by the Kenya Data Protection Act, 2019:</w:t>
      </w:r>
    </w:p>
    <w:p>
      <w:pPr>
        <w:pStyle w:val="MdSpace"/>
        <w:spacing w:before="0" w:after="60"/>
      </w:pPr>
    </w:p>
    <w:p>
      <w:pPr>
        <w:pStyle w:val="Heading4"/>
        <w:pStyle w:val="MdHeading4"/>
      </w:pPr>
      <w:r>
        <w:t xml:space="preserve">3.1.1 Performance of a Contract</w:t>
      </w:r>
    </w:p>
    <w:p>
      <w:pPr>
        <w:pStyle w:val="MdParagraph"/>
      </w:pPr>
      <w:r>
        <w:t xml:space="preserve">We process your data to enter into, perform, and manage our contract with you, including:</w:t>
      </w:r>
    </w:p>
    <w:p>
      <w:pPr>
        <w:pStyle w:val="MdSpace"/>
        <w:spacing w:before="0" w:after="60"/>
      </w:pPr>
    </w:p>
    <w:p>
      <w:pPr>
        <w:pStyle w:val="MdListItem"/>
        <w:numPr>
          <w:ilvl w:val="0"/>
          <w:numId w:val="2"/>
        </w:numPr>
      </w:pPr>
      <w:r>
        <w:t xml:space="preserve">Opening and managing your savings and loan accounts</w:t>
      </w:r>
    </w:p>
    <w:p>
      <w:pPr>
        <w:pStyle w:val="MdListItem"/>
        <w:numPr>
          <w:ilvl w:val="0"/>
          <w:numId w:val="2"/>
        </w:numPr>
      </w:pPr>
      <w:r>
        <w:t xml:space="preserve">Processing loan applications and credit decisions</w:t>
      </w:r>
    </w:p>
    <w:p>
      <w:pPr>
        <w:pStyle w:val="MdListItem"/>
        <w:numPr>
          <w:ilvl w:val="0"/>
          <w:numId w:val="2"/>
        </w:numPr>
      </w:pPr>
      <w:r>
        <w:t xml:space="preserve">Facilitating financial transactions and transfers</w:t>
      </w:r>
    </w:p>
    <w:p>
      <w:pPr>
        <w:pStyle w:val="MdListItem"/>
        <w:numPr>
          <w:ilvl w:val="0"/>
          <w:numId w:val="2"/>
        </w:numPr>
      </w:pPr>
      <w:r>
        <w:t xml:space="preserve">Providing requested financial products and services</w:t>
      </w:r>
    </w:p>
    <w:p>
      <w:pPr>
        <w:pStyle w:val="MdListItem"/>
        <w:numPr>
          <w:ilvl w:val="0"/>
          <w:numId w:val="2"/>
        </w:numPr>
      </w:pPr>
      <w:r>
        <w:t xml:space="preserve">Managing membership benefits and dividends</w:t>
      </w:r>
    </w:p>
    <w:p>
      <w:pPr>
        <w:pStyle w:val="MdSpace"/>
        <w:spacing w:before="0" w:after="60"/>
      </w:pPr>
    </w:p>
    <w:p>
      <w:pPr>
        <w:pStyle w:val="Heading4"/>
        <w:pStyle w:val="MdHeading4"/>
      </w:pPr>
      <w:r>
        <w:t xml:space="preserve">3.1.2 Legal and Regulatory Obligation</w:t>
      </w:r>
    </w:p>
    <w:p>
      <w:pPr>
        <w:pStyle w:val="MdParagraph"/>
      </w:pPr>
      <w:r>
        <w:t xml:space="preserve">We process your data to comply with legal obligations imposed on us by:</w:t>
      </w:r>
    </w:p>
    <w:p>
      <w:pPr>
        <w:pStyle w:val="MdSpace"/>
        <w:spacing w:before="0" w:after="60"/>
      </w:pPr>
    </w:p>
    <w:p>
      <w:pPr>
        <w:pStyle w:val="MdListItem"/>
        <w:numPr>
          <w:ilvl w:val="0"/>
          <w:numId w:val="2"/>
        </w:numPr>
      </w:pPr>
      <w:r>
        <w:t xml:space="preserve">Sacco Societies Act, 2008</w:t>
      </w:r>
    </w:p>
    <w:p>
      <w:pPr>
        <w:pStyle w:val="MdListItem"/>
        <w:numPr>
          <w:ilvl w:val="0"/>
          <w:numId w:val="2"/>
        </w:numPr>
      </w:pPr>
      <w:r>
        <w:t xml:space="preserve">SASRA Regulations and Guidelines</w:t>
      </w:r>
    </w:p>
    <w:p>
      <w:pPr>
        <w:pStyle w:val="MdListItem"/>
        <w:numPr>
          <w:ilvl w:val="0"/>
          <w:numId w:val="2"/>
        </w:numPr>
      </w:pPr>
      <w:r>
        <w:t xml:space="preserve">Anti-Money Laundering (AML) laws and Know Your Customer (KYC) requirements</w:t>
      </w:r>
    </w:p>
    <w:p>
      <w:pPr>
        <w:pStyle w:val="MdListItem"/>
        <w:numPr>
          <w:ilvl w:val="0"/>
          <w:numId w:val="2"/>
        </w:numPr>
      </w:pPr>
      <w:r>
        <w:t xml:space="preserve">Tax laws and KRA requirements</w:t>
      </w:r>
    </w:p>
    <w:p>
      <w:pPr>
        <w:pStyle w:val="MdListItem"/>
        <w:numPr>
          <w:ilvl w:val="0"/>
          <w:numId w:val="2"/>
        </w:numPr>
      </w:pPr>
      <w:r>
        <w:t xml:space="preserve">Central Bank of Kenya (CBK) regulations</w:t>
      </w:r>
    </w:p>
    <w:p>
      <w:pPr>
        <w:pStyle w:val="MdListItem"/>
        <w:numPr>
          <w:ilvl w:val="0"/>
          <w:numId w:val="2"/>
        </w:numPr>
      </w:pPr>
      <w:r>
        <w:t xml:space="preserve">Court orders and legal process</w:t>
      </w:r>
    </w:p>
    <w:p>
      <w:pPr>
        <w:pStyle w:val="MdListItem"/>
        <w:numPr>
          <w:ilvl w:val="0"/>
          <w:numId w:val="2"/>
        </w:numPr>
      </w:pPr>
      <w:r>
        <w:t xml:space="preserve">Data Protection Act, 2019 and related regulations</w:t>
      </w:r>
    </w:p>
    <w:p>
      <w:pPr>
        <w:pStyle w:val="MdSpace"/>
        <w:spacing w:before="0" w:after="60"/>
      </w:pPr>
    </w:p>
    <w:p>
      <w:pPr>
        <w:pStyle w:val="Heading4"/>
        <w:pStyle w:val="MdHeading4"/>
      </w:pPr>
      <w:r>
        <w:t xml:space="preserve">3.1.3 Legitimate Interests</w:t>
      </w:r>
    </w:p>
    <w:p>
      <w:pPr>
        <w:pStyle w:val="MdParagraph"/>
      </w:pPr>
      <w:r>
        <w:t xml:space="preserve">We process your data to pursue legitimate interests of Fortune Sacco or third parties, including:</w:t>
      </w:r>
    </w:p>
    <w:p>
      <w:pPr>
        <w:pStyle w:val="MdSpace"/>
        <w:spacing w:before="0" w:after="60"/>
      </w:pPr>
    </w:p>
    <w:p>
      <w:pPr>
        <w:pStyle w:val="MdListItem"/>
        <w:numPr>
          <w:ilvl w:val="0"/>
          <w:numId w:val="2"/>
        </w:numPr>
      </w:pPr>
      <w:r>
        <w:t xml:space="preserve">Fraud prevention and detection</w:t>
      </w:r>
    </w:p>
    <w:p>
      <w:pPr>
        <w:pStyle w:val="MdListItem"/>
        <w:numPr>
          <w:ilvl w:val="0"/>
          <w:numId w:val="2"/>
        </w:numPr>
      </w:pPr>
      <w:r>
        <w:t xml:space="preserve">Risk management and credit assessment</w:t>
      </w:r>
    </w:p>
    <w:p>
      <w:pPr>
        <w:pStyle w:val="MdListItem"/>
        <w:numPr>
          <w:ilvl w:val="0"/>
          <w:numId w:val="2"/>
        </w:numPr>
      </w:pPr>
      <w:r>
        <w:t xml:space="preserve">Security of IT systems and physical premises</w:t>
      </w:r>
    </w:p>
    <w:p>
      <w:pPr>
        <w:pStyle w:val="MdListItem"/>
        <w:numPr>
          <w:ilvl w:val="0"/>
          <w:numId w:val="2"/>
        </w:numPr>
      </w:pPr>
      <w:r>
        <w:t xml:space="preserve">Improvement of products and services</w:t>
      </w:r>
    </w:p>
    <w:p>
      <w:pPr>
        <w:pStyle w:val="MdListItem"/>
        <w:numPr>
          <w:ilvl w:val="0"/>
          <w:numId w:val="2"/>
        </w:numPr>
      </w:pPr>
      <w:r>
        <w:t xml:space="preserve">Enforcement of our rights and obligations</w:t>
      </w:r>
    </w:p>
    <w:p>
      <w:pPr>
        <w:pStyle w:val="MdListItem"/>
        <w:numPr>
          <w:ilvl w:val="0"/>
          <w:numId w:val="2"/>
        </w:numPr>
      </w:pPr>
      <w:r>
        <w:t xml:space="preserve">Marketing and business development (with consent where required)</w:t>
      </w:r>
    </w:p>
    <w:p>
      <w:pPr>
        <w:pStyle w:val="MdListItem"/>
        <w:numPr>
          <w:ilvl w:val="0"/>
          <w:numId w:val="2"/>
        </w:numPr>
      </w:pPr>
      <w:r>
        <w:t xml:space="preserve">Historical, statistical, and scientific research</w:t>
      </w:r>
    </w:p>
    <w:p>
      <w:pPr>
        <w:pStyle w:val="MdListItem"/>
        <w:numPr>
          <w:ilvl w:val="0"/>
          <w:numId w:val="2"/>
        </w:numPr>
      </w:pPr>
      <w:r>
        <w:t xml:space="preserve">Audit and compliance monitoring</w:t>
      </w:r>
    </w:p>
    <w:p>
      <w:pPr>
        <w:pStyle w:val="MdSpace"/>
        <w:spacing w:before="0" w:after="60"/>
      </w:pPr>
    </w:p>
    <w:p>
      <w:pPr>
        <w:pStyle w:val="Heading4"/>
        <w:pStyle w:val="MdHeading4"/>
      </w:pPr>
      <w:r>
        <w:t xml:space="preserve">3.1.4 Consent</w:t>
      </w:r>
    </w:p>
    <w:p>
      <w:pPr>
        <w:pStyle w:val="MdParagraph"/>
      </w:pPr>
      <w:r>
        <w:t xml:space="preserve">Where you have provided explicit consent, we process your data for:</w:t>
      </w:r>
    </w:p>
    <w:p>
      <w:pPr>
        <w:pStyle w:val="MdSpace"/>
        <w:spacing w:before="0" w:after="60"/>
      </w:pPr>
    </w:p>
    <w:p>
      <w:pPr>
        <w:pStyle w:val="MdListItem"/>
        <w:numPr>
          <w:ilvl w:val="0"/>
          <w:numId w:val="2"/>
        </w:numPr>
      </w:pPr>
      <w:r>
        <w:t xml:space="preserve">Marketing communications and promotional offers</w:t>
      </w:r>
    </w:p>
    <w:p>
      <w:pPr>
        <w:pStyle w:val="MdListItem"/>
        <w:numPr>
          <w:ilvl w:val="0"/>
          <w:numId w:val="2"/>
        </w:numPr>
      </w:pPr>
      <w:r>
        <w:t xml:space="preserve">Optional analytics and tracking</w:t>
      </w:r>
    </w:p>
    <w:p>
      <w:pPr>
        <w:pStyle w:val="MdListItem"/>
        <w:numPr>
          <w:ilvl w:val="0"/>
          <w:numId w:val="2"/>
        </w:numPr>
      </w:pPr>
      <w:r>
        <w:t xml:space="preserve">Non-essential cookies and tracking technologies</w:t>
      </w:r>
    </w:p>
    <w:p>
      <w:pPr>
        <w:pStyle w:val="MdListItem"/>
        <w:numPr>
          <w:ilvl w:val="0"/>
          <w:numId w:val="2"/>
        </w:numPr>
      </w:pPr>
      <w:r>
        <w:t xml:space="preserve">Biometric authentication (fingerprint, facial recognition)</w:t>
      </w:r>
    </w:p>
    <w:p>
      <w:pPr>
        <w:pStyle w:val="MdListItem"/>
        <w:numPr>
          <w:ilvl w:val="0"/>
          <w:numId w:val="2"/>
        </w:numPr>
      </w:pPr>
      <w:r>
        <w:t xml:space="preserve">Sharing data with selected third parties for specific purposes</w:t>
      </w:r>
    </w:p>
    <w:p>
      <w:pPr>
        <w:pStyle w:val="MdSpace"/>
        <w:spacing w:before="0" w:after="60"/>
      </w:pPr>
    </w:p>
    <w:p>
      <w:pPr>
        <w:pStyle w:val="MdParagraph"/>
      </w:pPr>
      <w:r>
        <w:t xml:space="preserve">You have the right to withdraw your consent at any time by contacting our Data Protection Officer.</w:t>
      </w:r>
    </w:p>
    <w:p>
      <w:pPr>
        <w:pStyle w:val="MdSpace"/>
        <w:spacing w:before="0" w:after="60"/>
      </w:pPr>
    </w:p>
    <w:p>
      <w:pPr>
        <w:pStyle w:val="Heading4"/>
        <w:pStyle w:val="MdHeading4"/>
      </w:pPr>
      <w:r>
        <w:t xml:space="preserve">3.1.5 Vital Interests</w:t>
      </w:r>
    </w:p>
    <w:p>
      <w:pPr>
        <w:pStyle w:val="MdParagraph"/>
      </w:pPr>
      <w:r>
        <w:t xml:space="preserve">We may process your data to protect vital interests of you or another person, including:</w:t>
      </w:r>
    </w:p>
    <w:p>
      <w:pPr>
        <w:pStyle w:val="MdSpace"/>
        <w:spacing w:before="0" w:after="60"/>
      </w:pPr>
    </w:p>
    <w:p>
      <w:pPr>
        <w:pStyle w:val="MdListItem"/>
        <w:numPr>
          <w:ilvl w:val="0"/>
          <w:numId w:val="2"/>
        </w:numPr>
      </w:pPr>
      <w:r>
        <w:t xml:space="preserve">Emergency situations requiring immediate action</w:t>
      </w:r>
    </w:p>
    <w:p>
      <w:pPr>
        <w:pStyle w:val="MdListItem"/>
        <w:numPr>
          <w:ilvl w:val="0"/>
          <w:numId w:val="2"/>
        </w:numPr>
      </w:pPr>
      <w:r>
        <w:t xml:space="preserve">Health and safety emergencies</w:t>
      </w:r>
    </w:p>
    <w:p>
      <w:pPr>
        <w:pStyle w:val="MdListItem"/>
        <w:numPr>
          <w:ilvl w:val="0"/>
          <w:numId w:val="2"/>
        </w:numPr>
      </w:pPr>
      <w:r>
        <w:t xml:space="preserve">Prevention of serious harm</w:t>
      </w:r>
    </w:p>
    <w:p>
      <w:pPr>
        <w:pStyle w:val="MdSpace"/>
        <w:spacing w:before="0" w:after="60"/>
      </w:pPr>
    </w:p>
    <w:p>
      <w:pPr>
        <w:pStyle w:val="Heading4"/>
        <w:pStyle w:val="MdHeading4"/>
      </w:pPr>
      <w:r>
        <w:t xml:space="preserve">3.1.6 Public Task</w:t>
      </w:r>
    </w:p>
    <w:p>
      <w:pPr>
        <w:pStyle w:val="MdParagraph"/>
      </w:pPr>
      <w:r>
        <w:t xml:space="preserve">We may process your data for tasks carried out in the public interest, including:</w:t>
      </w:r>
    </w:p>
    <w:p>
      <w:pPr>
        <w:pStyle w:val="MdSpace"/>
        <w:spacing w:before="0" w:after="60"/>
      </w:pPr>
    </w:p>
    <w:p>
      <w:pPr>
        <w:pStyle w:val="MdListItem"/>
        <w:numPr>
          <w:ilvl w:val="0"/>
          <w:numId w:val="2"/>
        </w:numPr>
      </w:pPr>
      <w:r>
        <w:t xml:space="preserve">Regulatory compliance and supervision</w:t>
      </w:r>
    </w:p>
    <w:p>
      <w:pPr>
        <w:pStyle w:val="MdListItem"/>
        <w:numPr>
          <w:ilvl w:val="0"/>
          <w:numId w:val="2"/>
        </w:numPr>
      </w:pPr>
      <w:r>
        <w:t xml:space="preserve">Consumer protection</w:t>
      </w:r>
    </w:p>
    <w:p>
      <w:pPr>
        <w:pStyle w:val="MdListItem"/>
        <w:numPr>
          <w:ilvl w:val="0"/>
          <w:numId w:val="2"/>
        </w:numPr>
      </w:pPr>
      <w:r>
        <w:t xml:space="preserve">Financial system stability</w:t>
      </w:r>
    </w:p>
    <w:p>
      <w:pPr>
        <w:pStyle w:val="MdSpace"/>
        <w:spacing w:before="0" w:after="60"/>
      </w:pPr>
    </w:p>
    <w:p>
      <w:pPr>
        <w:pStyle w:val="Heading3"/>
        <w:pStyle w:val="MdHeading3"/>
      </w:pPr>
      <w:r>
        <w:t xml:space="preserve">3.2 Specific Processing Purposes</w:t>
      </w:r>
    </w:p>
    <w:p>
      <w:pPr>
        <w:pStyle w:val="MdParagraph"/>
      </w:pPr>
      <w:r>
        <w:t xml:space="preserve">Fortune Sacco processes your personal data for the following specific purposes:</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Data Category</w:t>
            </w:r>
          </w:p>
        </w:tc>
        <w:tc>
          <w:tcPr>
            <w:tcMar>
              <w:top w:type="dxa" w:w="100"/>
              <w:left w:type="dxa" w:w="120"/>
              <w:bottom w:type="dxa" w:w="100"/>
              <w:right w:type="dxa" w:w="120"/>
            </w:tcMar>
            <w:vAlign w:val="center"/>
          </w:tcPr>
          <w:p>
            <w:pPr>
              <w:pStyle w:val="MdTableHeader"/>
            </w:pPr>
            <w:r>
              <w:rPr>
                <w:rStyle w:val="MdStrong"/>
                <w:b/>
                <w:bCs/>
              </w:rPr>
              <w:t xml:space="preserve">Processing Purpose</w:t>
            </w:r>
          </w:p>
        </w:tc>
        <w:tc>
          <w:tcPr>
            <w:tcMar>
              <w:top w:type="dxa" w:w="100"/>
              <w:left w:type="dxa" w:w="120"/>
              <w:bottom w:type="dxa" w:w="100"/>
              <w:right w:type="dxa" w:w="120"/>
            </w:tcMar>
            <w:vAlign w:val="center"/>
          </w:tcPr>
          <w:p>
            <w:pPr>
              <w:pStyle w:val="MdTableHeader"/>
            </w:pPr>
            <w:r>
              <w:rPr>
                <w:rStyle w:val="MdStrong"/>
                <w:b/>
                <w:bCs/>
              </w:rPr>
              <w:t xml:space="preserve">Legal Basis</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Retention Period</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Identification Data</w:t>
            </w:r>
          </w:p>
        </w:tc>
        <w:tc>
          <w:tcPr>
            <w:tcMar>
              <w:top w:type="dxa" w:w="80"/>
              <w:left w:type="dxa" w:w="120"/>
              <w:bottom w:type="dxa" w:w="80"/>
              <w:right w:type="dxa" w:w="120"/>
            </w:tcMar>
            <w:vAlign w:val="center"/>
          </w:tcPr>
          <w:p>
            <w:pPr>
              <w:pStyle w:val="MdTableCell"/>
            </w:pPr>
            <w:r>
              <w:t xml:space="preserve">Account opening, member verification, KYC/AML compliance</w:t>
            </w:r>
          </w:p>
        </w:tc>
        <w:tc>
          <w:tcPr>
            <w:tcMar>
              <w:top w:type="dxa" w:w="80"/>
              <w:left w:type="dxa" w:w="120"/>
              <w:bottom w:type="dxa" w:w="80"/>
              <w:right w:type="dxa" w:w="120"/>
            </w:tcMar>
            <w:vAlign w:val="center"/>
          </w:tcPr>
          <w:p>
            <w:pPr>
              <w:pStyle w:val="MdTableCell"/>
            </w:pPr>
            <w:r>
              <w:t xml:space="preserve">Contract, Legal Obligation</w:t>
            </w:r>
          </w:p>
        </w:tc>
        <w:tc>
          <w:tcPr>
            <w:tcBorders>
              <w:right w:val="none"/>
            </w:tcBorders>
            <w:tcMar>
              <w:top w:type="dxa" w:w="80"/>
              <w:left w:type="dxa" w:w="120"/>
              <w:bottom w:type="dxa" w:w="80"/>
              <w:right w:type="dxa" w:w="120"/>
            </w:tcMar>
            <w:vAlign w:val="center"/>
          </w:tcPr>
          <w:p>
            <w:pPr>
              <w:pStyle w:val="MdTableCell"/>
            </w:pPr>
            <w:r>
              <w:t xml:space="preserve">7 years post-closure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Contact Information</w:t>
            </w:r>
          </w:p>
        </w:tc>
        <w:tc>
          <w:tcPr>
            <w:tcMar>
              <w:top w:type="dxa" w:w="80"/>
              <w:left w:type="dxa" w:w="120"/>
              <w:bottom w:type="dxa" w:w="80"/>
              <w:right w:type="dxa" w:w="120"/>
            </w:tcMar>
            <w:vAlign w:val="center"/>
          </w:tcPr>
          <w:p>
            <w:pPr>
              <w:pStyle w:val="MdTableCell"/>
            </w:pPr>
            <w:r>
              <w:t xml:space="preserve">Service delivery, communications, notifications</w:t>
            </w:r>
          </w:p>
        </w:tc>
        <w:tc>
          <w:tcPr>
            <w:tcMar>
              <w:top w:type="dxa" w:w="80"/>
              <w:left w:type="dxa" w:w="120"/>
              <w:bottom w:type="dxa" w:w="80"/>
              <w:right w:type="dxa" w:w="120"/>
            </w:tcMar>
            <w:vAlign w:val="center"/>
          </w:tcPr>
          <w:p>
            <w:pPr>
              <w:pStyle w:val="MdTableCell"/>
            </w:pPr>
            <w:r>
              <w:t xml:space="preserve">Contract, Consent</w:t>
            </w:r>
          </w:p>
        </w:tc>
        <w:tc>
          <w:tcPr>
            <w:tcBorders>
              <w:right w:val="none"/>
            </w:tcBorders>
            <w:tcMar>
              <w:top w:type="dxa" w:w="80"/>
              <w:left w:type="dxa" w:w="120"/>
              <w:bottom w:type="dxa" w:w="80"/>
              <w:right w:type="dxa" w:w="120"/>
            </w:tcMar>
            <w:vAlign w:val="center"/>
          </w:tcPr>
          <w:p>
            <w:pPr>
              <w:pStyle w:val="MdTableCell"/>
            </w:pPr>
            <w:r>
              <w:t xml:space="preserve">Duration of membership</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Financial Data</w:t>
            </w:r>
          </w:p>
        </w:tc>
        <w:tc>
          <w:tcPr>
            <w:tcMar>
              <w:top w:type="dxa" w:w="80"/>
              <w:left w:type="dxa" w:w="120"/>
              <w:bottom w:type="dxa" w:w="80"/>
              <w:right w:type="dxa" w:w="120"/>
            </w:tcMar>
            <w:vAlign w:val="center"/>
          </w:tcPr>
          <w:p>
            <w:pPr>
              <w:pStyle w:val="MdTableCell"/>
            </w:pPr>
            <w:r>
              <w:t xml:space="preserve">Loan assessment, credit decisions, transaction processing, regulatory reporting</w:t>
            </w:r>
          </w:p>
        </w:tc>
        <w:tc>
          <w:tcPr>
            <w:tcMar>
              <w:top w:type="dxa" w:w="80"/>
              <w:left w:type="dxa" w:w="120"/>
              <w:bottom w:type="dxa" w:w="80"/>
              <w:right w:type="dxa" w:w="120"/>
            </w:tcMar>
            <w:vAlign w:val="center"/>
          </w:tcPr>
          <w:p>
            <w:pPr>
              <w:pStyle w:val="MdTableCell"/>
            </w:pPr>
            <w:r>
              <w:t xml:space="preserve">Contract, Legal Obligation, Legitimate Interest</w:t>
            </w:r>
          </w:p>
        </w:tc>
        <w:tc>
          <w:tcPr>
            <w:tcBorders>
              <w:right w:val="none"/>
            </w:tcBorders>
            <w:tcMar>
              <w:top w:type="dxa" w:w="80"/>
              <w:left w:type="dxa" w:w="120"/>
              <w:bottom w:type="dxa" w:w="80"/>
              <w:right w:type="dxa" w:w="120"/>
            </w:tcMar>
            <w:vAlign w:val="center"/>
          </w:tcPr>
          <w:p>
            <w:pPr>
              <w:pStyle w:val="MdTableCell"/>
            </w:pPr>
            <w:r>
              <w:t xml:space="preserve">7 years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Employment Data</w:t>
            </w:r>
          </w:p>
        </w:tc>
        <w:tc>
          <w:tcPr>
            <w:tcMar>
              <w:top w:type="dxa" w:w="80"/>
              <w:left w:type="dxa" w:w="120"/>
              <w:bottom w:type="dxa" w:w="80"/>
              <w:right w:type="dxa" w:w="120"/>
            </w:tcMar>
            <w:vAlign w:val="center"/>
          </w:tcPr>
          <w:p>
            <w:pPr>
              <w:pStyle w:val="MdTableCell"/>
            </w:pPr>
            <w:r>
              <w:t xml:space="preserve">Income verification, credit assessment, payroll processing</w:t>
            </w:r>
          </w:p>
        </w:tc>
        <w:tc>
          <w:tcPr>
            <w:tcMar>
              <w:top w:type="dxa" w:w="80"/>
              <w:left w:type="dxa" w:w="120"/>
              <w:bottom w:type="dxa" w:w="80"/>
              <w:right w:type="dxa" w:w="120"/>
            </w:tcMar>
            <w:vAlign w:val="center"/>
          </w:tcPr>
          <w:p>
            <w:pPr>
              <w:pStyle w:val="MdTableCell"/>
            </w:pPr>
            <w:r>
              <w:t xml:space="preserve">Contract, Legitimate Interest</w:t>
            </w:r>
          </w:p>
        </w:tc>
        <w:tc>
          <w:tcPr>
            <w:tcBorders>
              <w:right w:val="none"/>
            </w:tcBorders>
            <w:tcMar>
              <w:top w:type="dxa" w:w="80"/>
              <w:left w:type="dxa" w:w="120"/>
              <w:bottom w:type="dxa" w:w="80"/>
              <w:right w:type="dxa" w:w="120"/>
            </w:tcMar>
            <w:vAlign w:val="center"/>
          </w:tcPr>
          <w:p>
            <w:pPr>
              <w:pStyle w:val="MdTableCell"/>
            </w:pPr>
            <w:r>
              <w:t xml:space="preserve">5 years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Family Information</w:t>
            </w:r>
          </w:p>
        </w:tc>
        <w:tc>
          <w:tcPr>
            <w:tcMar>
              <w:top w:type="dxa" w:w="80"/>
              <w:left w:type="dxa" w:w="120"/>
              <w:bottom w:type="dxa" w:w="80"/>
              <w:right w:type="dxa" w:w="120"/>
            </w:tcMar>
            <w:vAlign w:val="center"/>
          </w:tcPr>
          <w:p>
            <w:pPr>
              <w:pStyle w:val="MdTableCell"/>
            </w:pPr>
            <w:r>
              <w:t xml:space="preserve">Beneficiary designation, emergency contact, insurance purposes</w:t>
            </w:r>
          </w:p>
        </w:tc>
        <w:tc>
          <w:tcPr>
            <w:tcMar>
              <w:top w:type="dxa" w:w="80"/>
              <w:left w:type="dxa" w:w="120"/>
              <w:bottom w:type="dxa" w:w="80"/>
              <w:right w:type="dxa" w:w="120"/>
            </w:tcMar>
            <w:vAlign w:val="center"/>
          </w:tcPr>
          <w:p>
            <w:pPr>
              <w:pStyle w:val="MdTableCell"/>
            </w:pPr>
            <w:r>
              <w:t xml:space="preserve">Contract, Consent</w:t>
            </w:r>
          </w:p>
        </w:tc>
        <w:tc>
          <w:tcPr>
            <w:tcBorders>
              <w:right w:val="none"/>
            </w:tcBorders>
            <w:tcMar>
              <w:top w:type="dxa" w:w="80"/>
              <w:left w:type="dxa" w:w="120"/>
              <w:bottom w:type="dxa" w:w="80"/>
              <w:right w:type="dxa" w:w="120"/>
            </w:tcMar>
            <w:vAlign w:val="center"/>
          </w:tcPr>
          <w:p>
            <w:pPr>
              <w:pStyle w:val="MdTableCell"/>
            </w:pPr>
            <w:r>
              <w:t xml:space="preserve">Duration of membership</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Technical Data</w:t>
            </w:r>
          </w:p>
        </w:tc>
        <w:tc>
          <w:tcPr>
            <w:tcMar>
              <w:top w:type="dxa" w:w="80"/>
              <w:left w:type="dxa" w:w="120"/>
              <w:bottom w:type="dxa" w:w="80"/>
              <w:right w:type="dxa" w:w="120"/>
            </w:tcMar>
            <w:vAlign w:val="center"/>
          </w:tcPr>
          <w:p>
            <w:pPr>
              <w:pStyle w:val="MdTableCell"/>
            </w:pPr>
            <w:r>
              <w:t xml:space="preserve">Website analytics, fraud prevention, system security</w:t>
            </w:r>
          </w:p>
        </w:tc>
        <w:tc>
          <w:tcPr>
            <w:tcMar>
              <w:top w:type="dxa" w:w="80"/>
              <w:left w:type="dxa" w:w="120"/>
              <w:bottom w:type="dxa" w:w="80"/>
              <w:right w:type="dxa" w:w="120"/>
            </w:tcMar>
            <w:vAlign w:val="center"/>
          </w:tcPr>
          <w:p>
            <w:pPr>
              <w:pStyle w:val="MdTableCell"/>
            </w:pPr>
            <w:r>
              <w:t xml:space="preserve">Legitimate Interest, Consent</w:t>
            </w:r>
          </w:p>
        </w:tc>
        <w:tc>
          <w:tcPr>
            <w:tcBorders>
              <w:right w:val="none"/>
            </w:tcBorders>
            <w:tcMar>
              <w:top w:type="dxa" w:w="80"/>
              <w:left w:type="dxa" w:w="120"/>
              <w:bottom w:type="dxa" w:w="80"/>
              <w:right w:type="dxa" w:w="120"/>
            </w:tcMar>
            <w:vAlign w:val="center"/>
          </w:tcPr>
          <w:p>
            <w:pPr>
              <w:pStyle w:val="MdTableCell"/>
            </w:pPr>
            <w:r>
              <w:t xml:space="preserve">2 years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Biometric Data</w:t>
            </w:r>
          </w:p>
        </w:tc>
        <w:tc>
          <w:tcPr>
            <w:tcMar>
              <w:top w:type="dxa" w:w="80"/>
              <w:left w:type="dxa" w:w="120"/>
              <w:bottom w:type="dxa" w:w="80"/>
              <w:right w:type="dxa" w:w="120"/>
            </w:tcMar>
            <w:vAlign w:val="center"/>
          </w:tcPr>
          <w:p>
            <w:pPr>
              <w:pStyle w:val="MdTableCell"/>
            </w:pPr>
            <w:r>
              <w:t xml:space="preserve">Authentication, fraud prevention, security</w:t>
            </w:r>
          </w:p>
        </w:tc>
        <w:tc>
          <w:tcPr>
            <w:tcMar>
              <w:top w:type="dxa" w:w="80"/>
              <w:left w:type="dxa" w:w="120"/>
              <w:bottom w:type="dxa" w:w="80"/>
              <w:right w:type="dxa" w:w="120"/>
            </w:tcMar>
            <w:vAlign w:val="center"/>
          </w:tcPr>
          <w:p>
            <w:pPr>
              <w:pStyle w:val="MdTableCell"/>
            </w:pPr>
            <w:r>
              <w:t xml:space="preserve">Consent, Legitimate Interest</w:t>
            </w:r>
          </w:p>
        </w:tc>
        <w:tc>
          <w:tcPr>
            <w:tcBorders>
              <w:right w:val="none"/>
            </w:tcBorders>
            <w:tcMar>
              <w:top w:type="dxa" w:w="80"/>
              <w:left w:type="dxa" w:w="120"/>
              <w:bottom w:type="dxa" w:w="80"/>
              <w:right w:type="dxa" w:w="120"/>
            </w:tcMar>
            <w:vAlign w:val="center"/>
          </w:tcPr>
          <w:p>
            <w:pPr>
              <w:pStyle w:val="MdTableCell"/>
            </w:pPr>
            <w:r>
              <w:t xml:space="preserve">Duration of membership</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Sensitive Data</w:t>
            </w:r>
          </w:p>
        </w:tc>
        <w:tc>
          <w:tcPr>
            <w:tcBorders>
              <w:bottom w:val="single" w:color="E1E4E8" w:sz="4"/>
            </w:tcBorders>
            <w:tcMar>
              <w:top w:type="dxa" w:w="80"/>
              <w:left w:type="dxa" w:w="120"/>
              <w:bottom w:type="dxa" w:w="80"/>
              <w:right w:type="dxa" w:w="120"/>
            </w:tcMar>
            <w:vAlign w:val="center"/>
          </w:tcPr>
          <w:p>
            <w:pPr>
              <w:pStyle w:val="MdTableCell"/>
            </w:pPr>
            <w:r>
              <w:t xml:space="preserve">Insurance underwriting, health-related products, regulatory compliance</w:t>
            </w:r>
          </w:p>
        </w:tc>
        <w:tc>
          <w:tcPr>
            <w:tcBorders>
              <w:bottom w:val="single" w:color="E1E4E8" w:sz="4"/>
            </w:tcBorders>
            <w:tcMar>
              <w:top w:type="dxa" w:w="80"/>
              <w:left w:type="dxa" w:w="120"/>
              <w:bottom w:type="dxa" w:w="80"/>
              <w:right w:type="dxa" w:w="120"/>
            </w:tcMar>
            <w:vAlign w:val="center"/>
          </w:tcPr>
          <w:p>
            <w:pPr>
              <w:pStyle w:val="MdTableCell"/>
            </w:pPr>
            <w:r>
              <w:t xml:space="preserve">Explicit Consent, Legal Obligation</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As required by law</w:t>
            </w:r>
          </w:p>
        </w:tc>
      </w:tr>
    </w:tbl>
    <w:p>
      <w:pPr>
        <w:pStyle w:val="MdHr"/>
        <w:pBdr>
          <w:bottom w:val="single" w:color="auto" w:sz="6" w:space="1"/>
        </w:pBdr>
      </w:pPr>
    </w:p>
    <w:p>
      <w:pPr>
        <w:pStyle w:val="MdSpace"/>
        <w:spacing w:before="0" w:after="60"/>
      </w:pPr>
    </w:p>
    <w:p>
      <w:pPr>
        <w:pStyle w:val="Heading2"/>
        <w:pStyle w:val="MdHeading2"/>
      </w:pPr>
      <w:r>
        <w:t xml:space="preserve">4. DATA SHARING AND DISCLOSURE</w:t>
      </w:r>
    </w:p>
    <w:p>
      <w:pPr>
        <w:pStyle w:val="Heading3"/>
        <w:pStyle w:val="MdHeading3"/>
      </w:pPr>
      <w:r>
        <w:t xml:space="preserve">4.1 Authorized Third Parties</w:t>
      </w:r>
    </w:p>
    <w:p>
      <w:pPr>
        <w:pStyle w:val="MdParagraph"/>
      </w:pPr>
      <w:r>
        <w:t xml:space="preserve">Fortune Sacco may share your personal data with authorized third parties under strict confidentiality and Data Processing Agreements (DPAs). All third-party processors are bound to maintain appropriate levels of security and confidentiality and to process personal information only as instructed by us.</w:t>
      </w:r>
    </w:p>
    <w:p>
      <w:pPr>
        <w:pStyle w:val="MdSpace"/>
        <w:spacing w:before="0" w:after="60"/>
      </w:pPr>
    </w:p>
    <w:p>
      <w:pPr>
        <w:pStyle w:val="Heading3"/>
        <w:pStyle w:val="MdHeading3"/>
      </w:pPr>
      <w:r>
        <w:t xml:space="preserve">4.2 Categories of Third-Party Recipients</w:t>
      </w:r>
    </w:p>
    <w:p>
      <w:pPr>
        <w:pStyle w:val="Heading4"/>
        <w:pStyle w:val="MdHeading4"/>
      </w:pPr>
      <w:r>
        <w:t xml:space="preserve">4.2.1 Service Providers</w:t>
      </w:r>
    </w:p>
    <w:p>
      <w:pPr>
        <w:pStyle w:val="MdListItem"/>
        <w:numPr>
          <w:ilvl w:val="0"/>
          <w:numId w:val="2"/>
        </w:numPr>
      </w:pPr>
      <w:r>
        <w:rPr>
          <w:rStyle w:val="MdStrong"/>
          <w:b/>
          <w:bCs/>
        </w:rPr>
        <w:t xml:space="preserve">Core Banking System Providers:</w:t>
      </w:r>
      <w:r>
        <w:t xml:space="preserve"> For account management and transaction processing</w:t>
      </w:r>
    </w:p>
    <w:p>
      <w:pPr>
        <w:pStyle w:val="MdListItem"/>
        <w:numPr>
          <w:ilvl w:val="0"/>
          <w:numId w:val="2"/>
        </w:numPr>
      </w:pPr>
      <w:r>
        <w:rPr>
          <w:rStyle w:val="MdStrong"/>
          <w:b/>
          <w:bCs/>
        </w:rPr>
        <w:t xml:space="preserve">Mobile Banking Providers:</w:t>
      </w:r>
      <w:r>
        <w:t xml:space="preserve"> For digital banking services</w:t>
      </w:r>
    </w:p>
    <w:p>
      <w:pPr>
        <w:pStyle w:val="MdListItem"/>
        <w:numPr>
          <w:ilvl w:val="0"/>
          <w:numId w:val="2"/>
        </w:numPr>
      </w:pPr>
      <w:r>
        <w:rPr>
          <w:rStyle w:val="MdStrong"/>
          <w:b/>
          <w:bCs/>
        </w:rPr>
        <w:t xml:space="preserve">SMS Service Providers:</w:t>
      </w:r>
      <w:r>
        <w:t xml:space="preserve"> For member communications and alerts</w:t>
      </w:r>
    </w:p>
    <w:p>
      <w:pPr>
        <w:pStyle w:val="MdListItem"/>
        <w:numPr>
          <w:ilvl w:val="0"/>
          <w:numId w:val="2"/>
        </w:numPr>
      </w:pPr>
      <w:r>
        <w:rPr>
          <w:rStyle w:val="MdStrong"/>
          <w:b/>
          <w:bCs/>
        </w:rPr>
        <w:t xml:space="preserve">Cloud Hosting Providers:</w:t>
      </w:r>
      <w:r>
        <w:t xml:space="preserve"> For secure data storage and backup</w:t>
      </w:r>
    </w:p>
    <w:p>
      <w:pPr>
        <w:pStyle w:val="MdListItem"/>
        <w:numPr>
          <w:ilvl w:val="0"/>
          <w:numId w:val="2"/>
        </w:numPr>
      </w:pPr>
      <w:r>
        <w:rPr>
          <w:rStyle w:val="MdStrong"/>
          <w:b/>
          <w:bCs/>
        </w:rPr>
        <w:t xml:space="preserve">IT Security Providers:</w:t>
      </w:r>
      <w:r>
        <w:t xml:space="preserve"> For cybersecurity and vulnerability management</w:t>
      </w:r>
    </w:p>
    <w:p>
      <w:pPr>
        <w:pStyle w:val="MdListItem"/>
        <w:numPr>
          <w:ilvl w:val="0"/>
          <w:numId w:val="2"/>
        </w:numPr>
      </w:pPr>
      <w:r>
        <w:rPr>
          <w:rStyle w:val="MdStrong"/>
          <w:b/>
          <w:bCs/>
        </w:rPr>
        <w:t xml:space="preserve">Payment Gateway Providers:</w:t>
      </w:r>
      <w:r>
        <w:t xml:space="preserve"> For transaction processing</w:t>
      </w:r>
    </w:p>
    <w:p>
      <w:pPr>
        <w:pStyle w:val="MdListItem"/>
        <w:numPr>
          <w:ilvl w:val="0"/>
          <w:numId w:val="2"/>
        </w:numPr>
      </w:pPr>
      <w:r>
        <w:rPr>
          <w:rStyle w:val="MdStrong"/>
          <w:b/>
          <w:bCs/>
        </w:rPr>
        <w:t xml:space="preserve">Marketing Service Providers:</w:t>
      </w:r>
      <w:r>
        <w:t xml:space="preserve"> For member communications (with consent)</w:t>
      </w:r>
    </w:p>
    <w:p>
      <w:pPr>
        <w:pStyle w:val="MdSpace"/>
        <w:spacing w:before="0" w:after="60"/>
      </w:pPr>
    </w:p>
    <w:p>
      <w:pPr>
        <w:pStyle w:val="Heading4"/>
        <w:pStyle w:val="MdHeading4"/>
      </w:pPr>
      <w:r>
        <w:t xml:space="preserve">4.2.2 Financial and Credit Institutions</w:t>
      </w:r>
    </w:p>
    <w:p>
      <w:pPr>
        <w:pStyle w:val="MdListItem"/>
        <w:numPr>
          <w:ilvl w:val="0"/>
          <w:numId w:val="2"/>
        </w:numPr>
      </w:pPr>
      <w:r>
        <w:rPr>
          <w:rStyle w:val="MdStrong"/>
          <w:b/>
          <w:bCs/>
        </w:rPr>
        <w:t xml:space="preserve">Credit Reference Bureaus (CRBs):</w:t>
      </w:r>
      <w:r>
        <w:t xml:space="preserve"> For credit appraisal, credit reporting, and member credit history</w:t>
      </w:r>
    </w:p>
    <w:p>
      <w:pPr>
        <w:pStyle w:val="MdListItem"/>
        <w:numPr>
          <w:ilvl w:val="0"/>
          <w:numId w:val="2"/>
        </w:numPr>
      </w:pPr>
      <w:r>
        <w:rPr>
          <w:rStyle w:val="MdStrong"/>
          <w:b/>
          <w:bCs/>
        </w:rPr>
        <w:t xml:space="preserve">Banks and Financial Institutions:</w:t>
      </w:r>
      <w:r>
        <w:t xml:space="preserve"> For interbank transfers and settlement</w:t>
      </w:r>
    </w:p>
    <w:p>
      <w:pPr>
        <w:pStyle w:val="MdListItem"/>
        <w:numPr>
          <w:ilvl w:val="0"/>
          <w:numId w:val="2"/>
        </w:numPr>
      </w:pPr>
      <w:r>
        <w:rPr>
          <w:rStyle w:val="MdStrong"/>
          <w:b/>
          <w:bCs/>
        </w:rPr>
        <w:t xml:space="preserve">Insurance Companies:</w:t>
      </w:r>
      <w:r>
        <w:t xml:space="preserve"> For insurance products and underwriting</w:t>
      </w:r>
    </w:p>
    <w:p>
      <w:pPr>
        <w:pStyle w:val="MdSpace"/>
        <w:spacing w:before="0" w:after="60"/>
      </w:pPr>
    </w:p>
    <w:p>
      <w:pPr>
        <w:pStyle w:val="Heading4"/>
        <w:pStyle w:val="MdHeading4"/>
      </w:pPr>
      <w:r>
        <w:t xml:space="preserve">4.2.3 Regulatory and Government Authorities</w:t>
      </w:r>
    </w:p>
    <w:p>
      <w:pPr>
        <w:pStyle w:val="MdListItem"/>
        <w:numPr>
          <w:ilvl w:val="0"/>
          <w:numId w:val="2"/>
        </w:numPr>
      </w:pPr>
      <w:r>
        <w:rPr>
          <w:rStyle w:val="MdStrong"/>
          <w:b/>
          <w:bCs/>
        </w:rPr>
        <w:t xml:space="preserve">Sacco Societies Regulatory Authority (SASRA):</w:t>
      </w:r>
      <w:r>
        <w:t xml:space="preserve"> For regulatory compliance and supervision</w:t>
      </w:r>
    </w:p>
    <w:p>
      <w:pPr>
        <w:pStyle w:val="MdListItem"/>
        <w:numPr>
          <w:ilvl w:val="0"/>
          <w:numId w:val="2"/>
        </w:numPr>
      </w:pPr>
      <w:r>
        <w:rPr>
          <w:rStyle w:val="MdStrong"/>
          <w:b/>
          <w:bCs/>
        </w:rPr>
        <w:t xml:space="preserve">Central Bank of Kenya (CBK):</w:t>
      </w:r>
      <w:r>
        <w:t xml:space="preserve"> For financial system oversight</w:t>
      </w:r>
    </w:p>
    <w:p>
      <w:pPr>
        <w:pStyle w:val="MdListItem"/>
        <w:numPr>
          <w:ilvl w:val="0"/>
          <w:numId w:val="2"/>
        </w:numPr>
      </w:pPr>
      <w:r>
        <w:rPr>
          <w:rStyle w:val="MdStrong"/>
          <w:b/>
          <w:bCs/>
        </w:rPr>
        <w:t xml:space="preserve">Office of the Data Protection Commissioner (ODPC):</w:t>
      </w:r>
      <w:r>
        <w:t xml:space="preserve"> For data protection compliance</w:t>
      </w:r>
    </w:p>
    <w:p>
      <w:pPr>
        <w:pStyle w:val="MdListItem"/>
        <w:numPr>
          <w:ilvl w:val="0"/>
          <w:numId w:val="2"/>
        </w:numPr>
      </w:pPr>
      <w:r>
        <w:rPr>
          <w:rStyle w:val="MdStrong"/>
          <w:b/>
          <w:bCs/>
        </w:rPr>
        <w:t xml:space="preserve">Kenya Revenue Authority (KRA):</w:t>
      </w:r>
      <w:r>
        <w:t xml:space="preserve"> For tax compliance and reporting</w:t>
      </w:r>
    </w:p>
    <w:p>
      <w:pPr>
        <w:pStyle w:val="MdListItem"/>
        <w:numPr>
          <w:ilvl w:val="0"/>
          <w:numId w:val="2"/>
        </w:numPr>
      </w:pPr>
      <w:r>
        <w:rPr>
          <w:rStyle w:val="MdStrong"/>
          <w:b/>
          <w:bCs/>
        </w:rPr>
        <w:t xml:space="preserve">Financial Intelligence Unit (FIU):</w:t>
      </w:r>
      <w:r>
        <w:t xml:space="preserve"> For AML/CFT compliance</w:t>
      </w:r>
    </w:p>
    <w:p>
      <w:pPr>
        <w:pStyle w:val="MdListItem"/>
        <w:numPr>
          <w:ilvl w:val="0"/>
          <w:numId w:val="2"/>
        </w:numPr>
      </w:pPr>
      <w:r>
        <w:rPr>
          <w:rStyle w:val="MdStrong"/>
          <w:b/>
          <w:bCs/>
        </w:rPr>
        <w:t xml:space="preserve">Law Enforcement Agencies:</w:t>
      </w:r>
      <w:r>
        <w:t xml:space="preserve"> For legal investigations and court orders</w:t>
      </w:r>
    </w:p>
    <w:p>
      <w:pPr>
        <w:pStyle w:val="MdListItem"/>
        <w:numPr>
          <w:ilvl w:val="0"/>
          <w:numId w:val="2"/>
        </w:numPr>
      </w:pPr>
      <w:r>
        <w:rPr>
          <w:rStyle w:val="MdStrong"/>
          <w:b/>
          <w:bCs/>
        </w:rPr>
        <w:t xml:space="preserve">Other Government Agencies:</w:t>
      </w:r>
      <w:r>
        <w:t xml:space="preserve"> As required by law</w:t>
      </w:r>
    </w:p>
    <w:p>
      <w:pPr>
        <w:pStyle w:val="MdSpace"/>
        <w:spacing w:before="0" w:after="60"/>
      </w:pPr>
    </w:p>
    <w:p>
      <w:pPr>
        <w:pStyle w:val="Heading4"/>
        <w:pStyle w:val="MdHeading4"/>
      </w:pPr>
      <w:r>
        <w:t xml:space="preserve">4.2.4 Professional Advisors</w:t>
      </w:r>
    </w:p>
    <w:p>
      <w:pPr>
        <w:pStyle w:val="MdListItem"/>
        <w:numPr>
          <w:ilvl w:val="0"/>
          <w:numId w:val="2"/>
        </w:numPr>
      </w:pPr>
      <w:r>
        <w:rPr>
          <w:rStyle w:val="MdStrong"/>
          <w:b/>
          <w:bCs/>
        </w:rPr>
        <w:t xml:space="preserve">External Auditors:</w:t>
      </w:r>
      <w:r>
        <w:t xml:space="preserve"> For financial and compliance audits</w:t>
      </w:r>
    </w:p>
    <w:p>
      <w:pPr>
        <w:pStyle w:val="MdListItem"/>
        <w:numPr>
          <w:ilvl w:val="0"/>
          <w:numId w:val="2"/>
        </w:numPr>
      </w:pPr>
      <w:r>
        <w:rPr>
          <w:rStyle w:val="MdStrong"/>
          <w:b/>
          <w:bCs/>
        </w:rPr>
        <w:t xml:space="preserve">Internal Auditors:</w:t>
      </w:r>
      <w:r>
        <w:t xml:space="preserve"> For internal control reviews</w:t>
      </w:r>
    </w:p>
    <w:p>
      <w:pPr>
        <w:pStyle w:val="MdListItem"/>
        <w:numPr>
          <w:ilvl w:val="0"/>
          <w:numId w:val="2"/>
        </w:numPr>
      </w:pPr>
      <w:r>
        <w:rPr>
          <w:rStyle w:val="MdStrong"/>
          <w:b/>
          <w:bCs/>
        </w:rPr>
        <w:t xml:space="preserve">Legal Counsel:</w:t>
      </w:r>
      <w:r>
        <w:t xml:space="preserve"> For legal advice and dispute resolution</w:t>
      </w:r>
    </w:p>
    <w:p>
      <w:pPr>
        <w:pStyle w:val="MdListItem"/>
        <w:numPr>
          <w:ilvl w:val="0"/>
          <w:numId w:val="2"/>
        </w:numPr>
      </w:pPr>
      <w:r>
        <w:rPr>
          <w:rStyle w:val="MdStrong"/>
          <w:b/>
          <w:bCs/>
        </w:rPr>
        <w:t xml:space="preserve">Tax Consultants:</w:t>
      </w:r>
      <w:r>
        <w:t xml:space="preserve"> For tax compliance</w:t>
      </w:r>
    </w:p>
    <w:p>
      <w:pPr>
        <w:pStyle w:val="MdListItem"/>
        <w:numPr>
          <w:ilvl w:val="0"/>
          <w:numId w:val="2"/>
        </w:numPr>
      </w:pPr>
      <w:r>
        <w:rPr>
          <w:rStyle w:val="MdStrong"/>
          <w:b/>
          <w:bCs/>
        </w:rPr>
        <w:t xml:space="preserve">Management Consultants:</w:t>
      </w:r>
      <w:r>
        <w:t xml:space="preserve"> For operational improvements</w:t>
      </w:r>
    </w:p>
    <w:p>
      <w:pPr>
        <w:pStyle w:val="MdSpace"/>
        <w:spacing w:before="0" w:after="60"/>
      </w:pPr>
    </w:p>
    <w:p>
      <w:pPr>
        <w:pStyle w:val="Heading4"/>
        <w:pStyle w:val="MdHeading4"/>
      </w:pPr>
      <w:r>
        <w:t xml:space="preserve">4.2.5 Other Authorized Parties</w:t>
      </w:r>
    </w:p>
    <w:p>
      <w:pPr>
        <w:pStyle w:val="MdListItem"/>
        <w:numPr>
          <w:ilvl w:val="0"/>
          <w:numId w:val="2"/>
        </w:numPr>
      </w:pPr>
      <w:r>
        <w:rPr>
          <w:rStyle w:val="MdStrong"/>
          <w:b/>
          <w:bCs/>
        </w:rPr>
        <w:t xml:space="preserve">Debt Collection Agencies:</w:t>
      </w:r>
      <w:r>
        <w:t xml:space="preserve"> For loan recovery (with appropriate safeguards)</w:t>
      </w:r>
    </w:p>
    <w:p>
      <w:pPr>
        <w:pStyle w:val="MdListItem"/>
        <w:numPr>
          <w:ilvl w:val="0"/>
          <w:numId w:val="2"/>
        </w:numPr>
      </w:pPr>
      <w:r>
        <w:rPr>
          <w:rStyle w:val="MdStrong"/>
          <w:b/>
          <w:bCs/>
        </w:rPr>
        <w:t xml:space="preserve">Insurance Brokers:</w:t>
      </w:r>
      <w:r>
        <w:t xml:space="preserve"> For insurance product administration</w:t>
      </w:r>
    </w:p>
    <w:p>
      <w:pPr>
        <w:pStyle w:val="MdListItem"/>
        <w:numPr>
          <w:ilvl w:val="0"/>
          <w:numId w:val="2"/>
        </w:numPr>
      </w:pPr>
      <w:r>
        <w:rPr>
          <w:rStyle w:val="MdStrong"/>
          <w:b/>
          <w:bCs/>
        </w:rPr>
        <w:t xml:space="preserve">Employer Verification Services:</w:t>
      </w:r>
      <w:r>
        <w:t xml:space="preserve"> For income verification</w:t>
      </w:r>
    </w:p>
    <w:p>
      <w:pPr>
        <w:pStyle w:val="MdListItem"/>
        <w:numPr>
          <w:ilvl w:val="0"/>
          <w:numId w:val="2"/>
        </w:numPr>
      </w:pPr>
      <w:r>
        <w:rPr>
          <w:rStyle w:val="MdStrong"/>
          <w:b/>
          <w:bCs/>
        </w:rPr>
        <w:t xml:space="preserve">Fraud Prevention Services:</w:t>
      </w:r>
      <w:r>
        <w:t xml:space="preserve"> For fraud detection and prevention</w:t>
      </w:r>
    </w:p>
    <w:p>
      <w:pPr>
        <w:pStyle w:val="MdSpace"/>
        <w:spacing w:before="0" w:after="60"/>
      </w:pPr>
    </w:p>
    <w:p>
      <w:pPr>
        <w:pStyle w:val="Heading3"/>
        <w:pStyle w:val="MdHeading3"/>
      </w:pPr>
      <w:r>
        <w:t xml:space="preserve">4.3 Data Processing Agreements</w:t>
      </w:r>
    </w:p>
    <w:p>
      <w:pPr>
        <w:pStyle w:val="MdParagraph"/>
      </w:pPr>
      <w:r>
        <w:t xml:space="preserve">All third parties who process your personal data on behalf of Fortune Sacco are required to:</w:t>
      </w:r>
    </w:p>
    <w:p>
      <w:pPr>
        <w:pStyle w:val="MdSpace"/>
        <w:spacing w:before="0" w:after="60"/>
      </w:pPr>
    </w:p>
    <w:p>
      <w:pPr>
        <w:pStyle w:val="MdListItem"/>
        <w:numPr>
          <w:ilvl w:val="0"/>
          <w:numId w:val="2"/>
        </w:numPr>
      </w:pPr>
      <w:r>
        <w:t xml:space="preserve">Sign a Data Processing Agreement (DPA) specifying their obligations</w:t>
      </w:r>
    </w:p>
    <w:p>
      <w:pPr>
        <w:pStyle w:val="MdListItem"/>
        <w:numPr>
          <w:ilvl w:val="0"/>
          <w:numId w:val="2"/>
        </w:numPr>
      </w:pPr>
      <w:r>
        <w:t xml:space="preserve">Process data only as instructed by Fortune Sacco</w:t>
      </w:r>
    </w:p>
    <w:p>
      <w:pPr>
        <w:pStyle w:val="MdListItem"/>
        <w:numPr>
          <w:ilvl w:val="0"/>
          <w:numId w:val="2"/>
        </w:numPr>
      </w:pPr>
      <w:r>
        <w:t xml:space="preserve">Maintain appropriate security and confidentiality</w:t>
      </w:r>
    </w:p>
    <w:p>
      <w:pPr>
        <w:pStyle w:val="MdListItem"/>
        <w:numPr>
          <w:ilvl w:val="0"/>
          <w:numId w:val="2"/>
        </w:numPr>
      </w:pPr>
      <w:r>
        <w:t xml:space="preserve">Comply with all applicable data protection laws</w:t>
      </w:r>
    </w:p>
    <w:p>
      <w:pPr>
        <w:pStyle w:val="MdListItem"/>
        <w:numPr>
          <w:ilvl w:val="0"/>
          <w:numId w:val="2"/>
        </w:numPr>
      </w:pPr>
      <w:r>
        <w:t xml:space="preserve">Notify Fortune Sacco of any data breaches</w:t>
      </w:r>
    </w:p>
    <w:p>
      <w:pPr>
        <w:pStyle w:val="MdListItem"/>
        <w:numPr>
          <w:ilvl w:val="0"/>
          <w:numId w:val="2"/>
        </w:numPr>
      </w:pPr>
      <w:r>
        <w:t xml:space="preserve">Cooperate with data subject rights requests</w:t>
      </w:r>
    </w:p>
    <w:p>
      <w:pPr>
        <w:pStyle w:val="MdListItem"/>
        <w:numPr>
          <w:ilvl w:val="0"/>
          <w:numId w:val="2"/>
        </w:numPr>
      </w:pPr>
      <w:r>
        <w:t xml:space="preserve">Delete or return data upon termination of the agreement</w:t>
      </w:r>
    </w:p>
    <w:p>
      <w:pPr>
        <w:pStyle w:val="MdSpace"/>
        <w:spacing w:before="0" w:after="60"/>
      </w:pPr>
    </w:p>
    <w:p>
      <w:pPr>
        <w:pStyle w:val="Heading3"/>
        <w:pStyle w:val="MdHeading3"/>
      </w:pPr>
      <w:r>
        <w:t xml:space="preserve">4.4 Cross-Border Data Transfers</w:t>
      </w:r>
    </w:p>
    <w:p>
      <w:pPr>
        <w:pStyle w:val="MdParagraph"/>
      </w:pPr>
      <w:r>
        <w:t xml:space="preserve">In the event that Fortune Sacco needs to transfer your personal data outside Kenya (e.g., for cloud storage services, international payment processing, or parent company reporting), we ensure that:</w:t>
      </w:r>
    </w:p>
    <w:p>
      <w:pPr>
        <w:pStyle w:val="MdSpace"/>
        <w:spacing w:before="0" w:after="60"/>
      </w:pPr>
    </w:p>
    <w:p>
      <w:pPr>
        <w:pStyle w:val="MdListItem"/>
        <w:numPr>
          <w:ilvl w:val="0"/>
          <w:numId w:val="2"/>
        </w:numPr>
      </w:pPr>
      <w:r>
        <w:t xml:space="preserve">Appropriate safeguards are in place</w:t>
      </w:r>
    </w:p>
    <w:p>
      <w:pPr>
        <w:pStyle w:val="MdListItem"/>
        <w:numPr>
          <w:ilvl w:val="0"/>
          <w:numId w:val="2"/>
        </w:numPr>
      </w:pPr>
      <w:r>
        <w:t xml:space="preserve">The destination country has adequate data protection laws equivalent to Kenya's standards</w:t>
      </w:r>
    </w:p>
    <w:p>
      <w:pPr>
        <w:pStyle w:val="MdListItem"/>
        <w:numPr>
          <w:ilvl w:val="0"/>
          <w:numId w:val="2"/>
        </w:numPr>
      </w:pPr>
      <w:r>
        <w:t xml:space="preserve">Standard contractual clauses or other approved transfer mechanisms are used</w:t>
      </w:r>
    </w:p>
    <w:p>
      <w:pPr>
        <w:pStyle w:val="MdListItem"/>
        <w:numPr>
          <w:ilvl w:val="0"/>
          <w:numId w:val="2"/>
        </w:numPr>
      </w:pPr>
      <w:r>
        <w:t xml:space="preserve">Your rights are protected to the same extent as in Kenya</w:t>
      </w:r>
    </w:p>
    <w:p>
      <w:pPr>
        <w:pStyle w:val="MdListItem"/>
        <w:numPr>
          <w:ilvl w:val="0"/>
          <w:numId w:val="2"/>
        </w:numPr>
      </w:pPr>
      <w:r>
        <w:t xml:space="preserve">Transfers comply with the Data Protection Act, 2019</w:t>
      </w:r>
    </w:p>
    <w:p>
      <w:pPr>
        <w:pStyle w:val="MdSpace"/>
        <w:spacing w:before="0" w:after="60"/>
      </w:pPr>
    </w:p>
    <w:p>
      <w:pPr>
        <w:pStyle w:val="Heading3"/>
        <w:pStyle w:val="MdHeading3"/>
      </w:pPr>
      <w:r>
        <w:t xml:space="preserve">4.5 Disclosure Without Consent</w:t>
      </w:r>
    </w:p>
    <w:p>
      <w:pPr>
        <w:pStyle w:val="MdParagraph"/>
      </w:pPr>
      <w:r>
        <w:t xml:space="preserve">Fortune Sacco may disclose your personal data without your consent when:</w:t>
      </w:r>
    </w:p>
    <w:p>
      <w:pPr>
        <w:pStyle w:val="MdSpace"/>
        <w:spacing w:before="0" w:after="60"/>
      </w:pPr>
    </w:p>
    <w:p>
      <w:pPr>
        <w:pStyle w:val="MdListItem"/>
        <w:numPr>
          <w:ilvl w:val="0"/>
          <w:numId w:val="2"/>
        </w:numPr>
      </w:pPr>
      <w:r>
        <w:t xml:space="preserve">Required by law or court order</w:t>
      </w:r>
    </w:p>
    <w:p>
      <w:pPr>
        <w:pStyle w:val="MdListItem"/>
        <w:numPr>
          <w:ilvl w:val="0"/>
          <w:numId w:val="2"/>
        </w:numPr>
      </w:pPr>
      <w:r>
        <w:t xml:space="preserve">Necessary to comply with regulatory requirements</w:t>
      </w:r>
    </w:p>
    <w:p>
      <w:pPr>
        <w:pStyle w:val="MdListItem"/>
        <w:numPr>
          <w:ilvl w:val="0"/>
          <w:numId w:val="2"/>
        </w:numPr>
      </w:pPr>
      <w:r>
        <w:t xml:space="preserve">Required to prevent fraud or criminal activity</w:t>
      </w:r>
    </w:p>
    <w:p>
      <w:pPr>
        <w:pStyle w:val="MdListItem"/>
        <w:numPr>
          <w:ilvl w:val="0"/>
          <w:numId w:val="2"/>
        </w:numPr>
      </w:pPr>
      <w:r>
        <w:t xml:space="preserve">Necessary to protect vital interests or public safety</w:t>
      </w:r>
    </w:p>
    <w:p>
      <w:pPr>
        <w:pStyle w:val="MdListItem"/>
        <w:numPr>
          <w:ilvl w:val="0"/>
          <w:numId w:val="2"/>
        </w:numPr>
      </w:pPr>
      <w:r>
        <w:t xml:space="preserve">Required for law enforcement investigations</w:t>
      </w:r>
    </w:p>
    <w:p>
      <w:pPr>
        <w:pStyle w:val="MdListItem"/>
        <w:numPr>
          <w:ilvl w:val="0"/>
          <w:numId w:val="2"/>
        </w:numPr>
      </w:pPr>
      <w:r>
        <w:t xml:space="preserve">Authorized by applicable regulations (AML/KYC, tax, financial supervision)</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5. DATA SECURITY</w:t>
      </w:r>
    </w:p>
    <w:p>
      <w:pPr>
        <w:pStyle w:val="Heading3"/>
        <w:pStyle w:val="MdHeading3"/>
      </w:pPr>
      <w:r>
        <w:t xml:space="preserve">5.1 Security Safeguards</w:t>
      </w:r>
    </w:p>
    <w:p>
      <w:pPr>
        <w:pStyle w:val="MdParagraph"/>
      </w:pPr>
      <w:r>
        <w:t xml:space="preserve">Fortune Sacco implements robust technical, organizational, and physical safeguards to protect your personal data against unauthorized access, loss, destruction, alteration, or misuse. Our security framework includes:</w:t>
      </w:r>
    </w:p>
    <w:p>
      <w:pPr>
        <w:pStyle w:val="MdSpace"/>
        <w:spacing w:before="0" w:after="60"/>
      </w:pPr>
    </w:p>
    <w:p>
      <w:pPr>
        <w:pStyle w:val="Heading3"/>
        <w:pStyle w:val="MdHeading3"/>
      </w:pPr>
      <w:r>
        <w:t xml:space="preserve">5.2 Technical Controls</w:t>
      </w:r>
    </w:p>
    <w:p>
      <w:pPr>
        <w:pStyle w:val="MdListItem"/>
        <w:numPr>
          <w:ilvl w:val="0"/>
          <w:numId w:val="2"/>
        </w:numPr>
      </w:pPr>
      <w:r>
        <w:rPr>
          <w:rStyle w:val="MdStrong"/>
          <w:b/>
          <w:bCs/>
        </w:rPr>
        <w:t xml:space="preserve">Encryption:</w:t>
      </w:r>
      <w:r>
        <w:t xml:space="preserve"> Data is encrypted both in transit (using SSL/TLS protocols) and at rest (using industry-standard encryption algorithms)</w:t>
      </w:r>
    </w:p>
    <w:p>
      <w:pPr>
        <w:pStyle w:val="MdListItem"/>
        <w:numPr>
          <w:ilvl w:val="0"/>
          <w:numId w:val="2"/>
        </w:numPr>
      </w:pPr>
      <w:r>
        <w:rPr>
          <w:rStyle w:val="MdStrong"/>
          <w:b/>
          <w:bCs/>
        </w:rPr>
        <w:t xml:space="preserve">Access Controls:</w:t>
      </w:r>
      <w:r>
        <w:t xml:space="preserve"> Role-based access control (RBAC) ensures that only authorized personnel can access personal data</w:t>
      </w:r>
    </w:p>
    <w:p>
      <w:pPr>
        <w:pStyle w:val="MdListItem"/>
        <w:numPr>
          <w:ilvl w:val="0"/>
          <w:numId w:val="2"/>
        </w:numPr>
      </w:pPr>
      <w:r>
        <w:rPr>
          <w:rStyle w:val="MdStrong"/>
          <w:b/>
          <w:bCs/>
        </w:rPr>
        <w:t xml:space="preserve">Multi-Factor Authentication (MFA):</w:t>
      </w:r>
      <w:r>
        <w:t xml:space="preserve"> MFA is required for access to sensitive systems and member accounts</w:t>
      </w:r>
    </w:p>
    <w:p>
      <w:pPr>
        <w:pStyle w:val="MdListItem"/>
        <w:numPr>
          <w:ilvl w:val="0"/>
          <w:numId w:val="2"/>
        </w:numPr>
      </w:pPr>
      <w:r>
        <w:rPr>
          <w:rStyle w:val="MdStrong"/>
          <w:b/>
          <w:bCs/>
        </w:rPr>
        <w:t xml:space="preserve">Firewalls and Network Segmentation:</w:t>
      </w:r>
      <w:r>
        <w:t xml:space="preserve"> Network security measures prevent unauthorized access to our systems</w:t>
      </w:r>
    </w:p>
    <w:p>
      <w:pPr>
        <w:pStyle w:val="MdListItem"/>
        <w:numPr>
          <w:ilvl w:val="0"/>
          <w:numId w:val="2"/>
        </w:numPr>
      </w:pPr>
      <w:r>
        <w:rPr>
          <w:rStyle w:val="MdStrong"/>
          <w:b/>
          <w:bCs/>
        </w:rPr>
        <w:t xml:space="preserve">Intrusion Detection Systems:</w:t>
      </w:r>
      <w:r>
        <w:t xml:space="preserve"> Automated monitoring detects and alerts on suspicious activities</w:t>
      </w:r>
    </w:p>
    <w:p>
      <w:pPr>
        <w:pStyle w:val="MdListItem"/>
        <w:numPr>
          <w:ilvl w:val="0"/>
          <w:numId w:val="2"/>
        </w:numPr>
      </w:pPr>
      <w:r>
        <w:rPr>
          <w:rStyle w:val="MdStrong"/>
          <w:b/>
          <w:bCs/>
        </w:rPr>
        <w:t xml:space="preserve">Vulnerability Management:</w:t>
      </w:r>
      <w:r>
        <w:t xml:space="preserve"> Regular vulnerability assessments and penetration testing identify and remediate security gaps</w:t>
      </w:r>
    </w:p>
    <w:p>
      <w:pPr>
        <w:pStyle w:val="MdListItem"/>
        <w:numPr>
          <w:ilvl w:val="0"/>
          <w:numId w:val="2"/>
        </w:numPr>
      </w:pPr>
      <w:r>
        <w:rPr>
          <w:rStyle w:val="MdStrong"/>
          <w:b/>
          <w:bCs/>
        </w:rPr>
        <w:t xml:space="preserve">Endpoint Security:</w:t>
      </w:r>
      <w:r>
        <w:t xml:space="preserve"> Antivirus, anti-malware, and endpoint detection and response (EDR) tools protect devices</w:t>
      </w:r>
    </w:p>
    <w:p>
      <w:pPr>
        <w:pStyle w:val="MdSpace"/>
        <w:spacing w:before="0" w:after="60"/>
      </w:pPr>
    </w:p>
    <w:p>
      <w:pPr>
        <w:pStyle w:val="Heading3"/>
        <w:pStyle w:val="MdHeading3"/>
      </w:pPr>
      <w:r>
        <w:t xml:space="preserve">5.3 Organizational Controls</w:t>
      </w:r>
    </w:p>
    <w:p>
      <w:pPr>
        <w:pStyle w:val="MdListItem"/>
        <w:numPr>
          <w:ilvl w:val="0"/>
          <w:numId w:val="2"/>
        </w:numPr>
      </w:pPr>
      <w:r>
        <w:rPr>
          <w:rStyle w:val="MdStrong"/>
          <w:b/>
          <w:bCs/>
        </w:rPr>
        <w:t xml:space="preserve">Staff Training:</w:t>
      </w:r>
      <w:r>
        <w:t xml:space="preserve"> All employees receive data protection and security awareness training</w:t>
      </w:r>
    </w:p>
    <w:p>
      <w:pPr>
        <w:pStyle w:val="MdListItem"/>
        <w:numPr>
          <w:ilvl w:val="0"/>
          <w:numId w:val="2"/>
        </w:numPr>
      </w:pPr>
      <w:r>
        <w:rPr>
          <w:rStyle w:val="MdStrong"/>
          <w:b/>
          <w:bCs/>
        </w:rPr>
        <w:t xml:space="preserve">Confidentiality Agreements:</w:t>
      </w:r>
      <w:r>
        <w:t xml:space="preserve"> All staff sign confidentiality and non-disclosure agreements</w:t>
      </w:r>
    </w:p>
    <w:p>
      <w:pPr>
        <w:pStyle w:val="MdListItem"/>
        <w:numPr>
          <w:ilvl w:val="0"/>
          <w:numId w:val="2"/>
        </w:numPr>
      </w:pPr>
      <w:r>
        <w:rPr>
          <w:rStyle w:val="MdStrong"/>
          <w:b/>
          <w:bCs/>
        </w:rPr>
        <w:t xml:space="preserve">Access Restrictions:</w:t>
      </w:r>
      <w:r>
        <w:t xml:space="preserve"> Personal data access is restricted to staff with legitimate business needs</w:t>
      </w:r>
    </w:p>
    <w:p>
      <w:pPr>
        <w:pStyle w:val="MdListItem"/>
        <w:numPr>
          <w:ilvl w:val="0"/>
          <w:numId w:val="2"/>
        </w:numPr>
      </w:pPr>
      <w:r>
        <w:rPr>
          <w:rStyle w:val="MdStrong"/>
          <w:b/>
          <w:bCs/>
        </w:rPr>
        <w:t xml:space="preserve">Audit Trails:</w:t>
      </w:r>
      <w:r>
        <w:t xml:space="preserve"> All access to personal data is logged and monitored</w:t>
      </w:r>
    </w:p>
    <w:p>
      <w:pPr>
        <w:pStyle w:val="MdListItem"/>
        <w:numPr>
          <w:ilvl w:val="0"/>
          <w:numId w:val="2"/>
        </w:numPr>
      </w:pPr>
      <w:r>
        <w:rPr>
          <w:rStyle w:val="MdStrong"/>
          <w:b/>
          <w:bCs/>
        </w:rPr>
        <w:t xml:space="preserve">Security Policies:</w:t>
      </w:r>
      <w:r>
        <w:t xml:space="preserve"> Comprehensive security policies govern data handling and protection</w:t>
      </w:r>
    </w:p>
    <w:p>
      <w:pPr>
        <w:pStyle w:val="MdListItem"/>
        <w:numPr>
          <w:ilvl w:val="0"/>
          <w:numId w:val="2"/>
        </w:numPr>
      </w:pPr>
      <w:r>
        <w:rPr>
          <w:rStyle w:val="MdStrong"/>
          <w:b/>
          <w:bCs/>
        </w:rPr>
        <w:t xml:space="preserve">Incident Response Team:</w:t>
      </w:r>
      <w:r>
        <w:t xml:space="preserve"> A dedicated team responds to security incidents and data breaches</w:t>
      </w:r>
    </w:p>
    <w:p>
      <w:pPr>
        <w:pStyle w:val="MdSpace"/>
        <w:spacing w:before="0" w:after="60"/>
      </w:pPr>
    </w:p>
    <w:p>
      <w:pPr>
        <w:pStyle w:val="Heading3"/>
        <w:pStyle w:val="MdHeading3"/>
      </w:pPr>
      <w:r>
        <w:t xml:space="preserve">5.4 Physical Controls</w:t>
      </w:r>
    </w:p>
    <w:p>
      <w:pPr>
        <w:pStyle w:val="MdListItem"/>
        <w:numPr>
          <w:ilvl w:val="0"/>
          <w:numId w:val="2"/>
        </w:numPr>
      </w:pPr>
      <w:r>
        <w:rPr>
          <w:rStyle w:val="MdStrong"/>
          <w:b/>
          <w:bCs/>
        </w:rPr>
        <w:t xml:space="preserve">Secure Facilities:</w:t>
      </w:r>
      <w:r>
        <w:t xml:space="preserve"> Data centers and branch offices have restricted physical access</w:t>
      </w:r>
    </w:p>
    <w:p>
      <w:pPr>
        <w:pStyle w:val="MdListItem"/>
        <w:numPr>
          <w:ilvl w:val="0"/>
          <w:numId w:val="2"/>
        </w:numPr>
      </w:pPr>
      <w:r>
        <w:rPr>
          <w:rStyle w:val="MdStrong"/>
          <w:b/>
          <w:bCs/>
        </w:rPr>
        <w:t xml:space="preserve">CCTV Surveillance:</w:t>
      </w:r>
      <w:r>
        <w:t xml:space="preserve"> Closed-circuit television monitors sensitive areas</w:t>
      </w:r>
    </w:p>
    <w:p>
      <w:pPr>
        <w:pStyle w:val="MdListItem"/>
        <w:numPr>
          <w:ilvl w:val="0"/>
          <w:numId w:val="2"/>
        </w:numPr>
      </w:pPr>
      <w:r>
        <w:rPr>
          <w:rStyle w:val="MdStrong"/>
          <w:b/>
          <w:bCs/>
        </w:rPr>
        <w:t xml:space="preserve">Access Cards and Biometric Controls:</w:t>
      </w:r>
      <w:r>
        <w:t xml:space="preserve"> Physical access is controlled through keycards and biometric authentication</w:t>
      </w:r>
    </w:p>
    <w:p>
      <w:pPr>
        <w:pStyle w:val="MdListItem"/>
        <w:numPr>
          <w:ilvl w:val="0"/>
          <w:numId w:val="2"/>
        </w:numPr>
      </w:pPr>
      <w:r>
        <w:rPr>
          <w:rStyle w:val="MdStrong"/>
          <w:b/>
          <w:bCs/>
        </w:rPr>
        <w:t xml:space="preserve">Secure Storage:</w:t>
      </w:r>
      <w:r>
        <w:t xml:space="preserve"> Personal data is stored in locked cabinets and secure facilities</w:t>
      </w:r>
    </w:p>
    <w:p>
      <w:pPr>
        <w:pStyle w:val="MdListItem"/>
        <w:numPr>
          <w:ilvl w:val="0"/>
          <w:numId w:val="2"/>
        </w:numPr>
      </w:pPr>
      <w:r>
        <w:rPr>
          <w:rStyle w:val="MdStrong"/>
          <w:b/>
          <w:bCs/>
        </w:rPr>
        <w:t xml:space="preserve">Visitor Management:</w:t>
      </w:r>
      <w:r>
        <w:t xml:space="preserve"> All visitors are logged and supervised</w:t>
      </w:r>
    </w:p>
    <w:p>
      <w:pPr>
        <w:pStyle w:val="MdListItem"/>
        <w:numPr>
          <w:ilvl w:val="0"/>
          <w:numId w:val="2"/>
        </w:numPr>
      </w:pPr>
      <w:r>
        <w:rPr>
          <w:rStyle w:val="MdStrong"/>
          <w:b/>
          <w:bCs/>
        </w:rPr>
        <w:t xml:space="preserve">Secure Disposal:</w:t>
      </w:r>
      <w:r>
        <w:t xml:space="preserve"> Physical documents containing personal data are securely destroyed</w:t>
      </w:r>
    </w:p>
    <w:p>
      <w:pPr>
        <w:pStyle w:val="MdSpace"/>
        <w:spacing w:before="0" w:after="60"/>
      </w:pPr>
    </w:p>
    <w:p>
      <w:pPr>
        <w:pStyle w:val="Heading3"/>
        <w:pStyle w:val="MdHeading3"/>
      </w:pPr>
      <w:r>
        <w:t xml:space="preserve">5.5 User Responsibility</w:t>
      </w:r>
    </w:p>
    <w:p>
      <w:pPr>
        <w:pStyle w:val="MdParagraph"/>
      </w:pPr>
      <w:r>
        <w:t xml:space="preserve">Your account is protected by your account password and PIN. Fortune Sacco urges you to take steps to keep your personal information safe by:</w:t>
      </w:r>
    </w:p>
    <w:p>
      <w:pPr>
        <w:pStyle w:val="MdSpace"/>
        <w:spacing w:before="0" w:after="60"/>
      </w:pPr>
    </w:p>
    <w:p>
      <w:pPr>
        <w:pStyle w:val="MdListItem"/>
        <w:numPr>
          <w:ilvl w:val="0"/>
          <w:numId w:val="2"/>
        </w:numPr>
      </w:pPr>
      <w:r>
        <w:t xml:space="preserve">Not disclosing your password or PIN to anyone</w:t>
      </w:r>
    </w:p>
    <w:p>
      <w:pPr>
        <w:pStyle w:val="MdListItem"/>
        <w:numPr>
          <w:ilvl w:val="0"/>
          <w:numId w:val="2"/>
        </w:numPr>
      </w:pPr>
      <w:r>
        <w:t xml:space="preserve">Logging out of your account after each use</w:t>
      </w:r>
    </w:p>
    <w:p>
      <w:pPr>
        <w:pStyle w:val="MdListItem"/>
        <w:numPr>
          <w:ilvl w:val="0"/>
          <w:numId w:val="2"/>
        </w:numPr>
      </w:pPr>
      <w:r>
        <w:t xml:space="preserve">Using strong, unique passwords</w:t>
      </w:r>
    </w:p>
    <w:p>
      <w:pPr>
        <w:pStyle w:val="MdListItem"/>
        <w:numPr>
          <w:ilvl w:val="0"/>
          <w:numId w:val="2"/>
        </w:numPr>
      </w:pPr>
      <w:r>
        <w:t xml:space="preserve">Enabling multi-factor authentication where available</w:t>
      </w:r>
    </w:p>
    <w:p>
      <w:pPr>
        <w:pStyle w:val="MdListItem"/>
        <w:numPr>
          <w:ilvl w:val="0"/>
          <w:numId w:val="2"/>
        </w:numPr>
      </w:pPr>
      <w:r>
        <w:t xml:space="preserve">Reporting suspicious activities immediately</w:t>
      </w:r>
    </w:p>
    <w:p>
      <w:pPr>
        <w:pStyle w:val="MdListItem"/>
        <w:numPr>
          <w:ilvl w:val="0"/>
          <w:numId w:val="2"/>
        </w:numPr>
      </w:pPr>
      <w:r>
        <w:t xml:space="preserve">Not sharing your device with untrusted individuals</w:t>
      </w:r>
    </w:p>
    <w:p>
      <w:pPr>
        <w:pStyle w:val="MdSpace"/>
        <w:spacing w:before="0" w:after="60"/>
      </w:pPr>
    </w:p>
    <w:p>
      <w:pPr>
        <w:pStyle w:val="MdParagraph"/>
      </w:pPr>
      <w:r>
        <w:t xml:space="preserve">By using Fortune Sacco's systems, sites, and access services, you acknowledge that you understand and agree to assume responsibility for protecting your account credentials and information.</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6. DATA RETENTION AND DISPOSAL</w:t>
      </w:r>
    </w:p>
    <w:p>
      <w:pPr>
        <w:pStyle w:val="Heading3"/>
        <w:pStyle w:val="MdHeading3"/>
      </w:pPr>
      <w:r>
        <w:t xml:space="preserve">6.1 Retention Principles</w:t>
      </w:r>
    </w:p>
    <w:p>
      <w:pPr>
        <w:pStyle w:val="MdParagraph"/>
      </w:pPr>
      <w:r>
        <w:t xml:space="preserve">Fortune Sacco retains your personal data only for as long as necessary to fulfill the purposes for which it was collected, or as required by law. When determining appropriate retention periods, we consider:</w:t>
      </w:r>
    </w:p>
    <w:p>
      <w:pPr>
        <w:pStyle w:val="MdSpace"/>
        <w:spacing w:before="0" w:after="60"/>
      </w:pPr>
    </w:p>
    <w:p>
      <w:pPr>
        <w:pStyle w:val="MdListItem"/>
        <w:numPr>
          <w:ilvl w:val="0"/>
          <w:numId w:val="2"/>
        </w:numPr>
      </w:pPr>
      <w:r>
        <w:t xml:space="preserve">The size, nature, and sensitivity of the personal data</w:t>
      </w:r>
    </w:p>
    <w:p>
      <w:pPr>
        <w:pStyle w:val="MdListItem"/>
        <w:numPr>
          <w:ilvl w:val="0"/>
          <w:numId w:val="2"/>
        </w:numPr>
      </w:pPr>
      <w:r>
        <w:t xml:space="preserve">The purposes for which we process the data</w:t>
      </w:r>
    </w:p>
    <w:p>
      <w:pPr>
        <w:pStyle w:val="MdListItem"/>
        <w:numPr>
          <w:ilvl w:val="0"/>
          <w:numId w:val="2"/>
        </w:numPr>
      </w:pPr>
      <w:r>
        <w:t xml:space="preserve">The need to comply with internal policies and procedures</w:t>
      </w:r>
    </w:p>
    <w:p>
      <w:pPr>
        <w:pStyle w:val="MdListItem"/>
        <w:numPr>
          <w:ilvl w:val="0"/>
          <w:numId w:val="2"/>
        </w:numPr>
      </w:pPr>
      <w:r>
        <w:t xml:space="preserve">Applicable legal and regulatory requirements</w:t>
      </w:r>
    </w:p>
    <w:p>
      <w:pPr>
        <w:pStyle w:val="MdListItem"/>
        <w:numPr>
          <w:ilvl w:val="0"/>
          <w:numId w:val="2"/>
        </w:numPr>
      </w:pPr>
      <w:r>
        <w:t xml:space="preserve">The statute of limitations for legal claims</w:t>
      </w:r>
    </w:p>
    <w:p>
      <w:pPr>
        <w:pStyle w:val="MdListItem"/>
        <w:numPr>
          <w:ilvl w:val="0"/>
          <w:numId w:val="2"/>
        </w:numPr>
      </w:pPr>
      <w:r>
        <w:t xml:space="preserve">Industry best practices and standards</w:t>
      </w:r>
    </w:p>
    <w:p>
      <w:pPr>
        <w:pStyle w:val="MdSpace"/>
        <w:spacing w:before="0" w:after="60"/>
      </w:pPr>
    </w:p>
    <w:p>
      <w:pPr>
        <w:pStyle w:val="Heading3"/>
        <w:pStyle w:val="MdHeading3"/>
      </w:pPr>
      <w:r>
        <w:t xml:space="preserve">6.2 Specific Retention Schedules</w:t>
      </w: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Data Category</w:t>
            </w:r>
          </w:p>
        </w:tc>
        <w:tc>
          <w:tcPr>
            <w:tcMar>
              <w:top w:type="dxa" w:w="100"/>
              <w:left w:type="dxa" w:w="120"/>
              <w:bottom w:type="dxa" w:w="100"/>
              <w:right w:type="dxa" w:w="120"/>
            </w:tcMar>
            <w:vAlign w:val="center"/>
          </w:tcPr>
          <w:p>
            <w:pPr>
              <w:pStyle w:val="MdTableHeader"/>
            </w:pPr>
            <w:r>
              <w:rPr>
                <w:rStyle w:val="MdStrong"/>
                <w:b/>
                <w:bCs/>
              </w:rPr>
              <w:t xml:space="preserve">Retention Period</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Legal Basis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Member Account Records</w:t>
            </w:r>
          </w:p>
        </w:tc>
        <w:tc>
          <w:tcPr>
            <w:tcMar>
              <w:top w:type="dxa" w:w="80"/>
              <w:left w:type="dxa" w:w="120"/>
              <w:bottom w:type="dxa" w:w="80"/>
              <w:right w:type="dxa" w:w="120"/>
            </w:tcMar>
            <w:vAlign w:val="center"/>
          </w:tcPr>
          <w:p>
            <w:pPr>
              <w:pStyle w:val="MdTableCell"/>
            </w:pPr>
            <w:r>
              <w:t xml:space="preserve">7 years after account closure</w:t>
            </w:r>
          </w:p>
        </w:tc>
        <w:tc>
          <w:tcPr>
            <w:tcBorders>
              <w:right w:val="none"/>
            </w:tcBorders>
            <w:tcMar>
              <w:top w:type="dxa" w:w="80"/>
              <w:left w:type="dxa" w:w="120"/>
              <w:bottom w:type="dxa" w:w="80"/>
              <w:right w:type="dxa" w:w="120"/>
            </w:tcMar>
            <w:vAlign w:val="center"/>
          </w:tcPr>
          <w:p>
            <w:pPr>
              <w:pStyle w:val="MdTableCell"/>
            </w:pPr>
            <w:r>
              <w:t xml:space="preserve">Sacco Societies Act, Tax Laws, SASRA Guidelines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Transaction Records</w:t>
            </w:r>
          </w:p>
        </w:tc>
        <w:tc>
          <w:tcPr>
            <w:tcMar>
              <w:top w:type="dxa" w:w="80"/>
              <w:left w:type="dxa" w:w="120"/>
              <w:bottom w:type="dxa" w:w="80"/>
              <w:right w:type="dxa" w:w="120"/>
            </w:tcMar>
            <w:vAlign w:val="center"/>
          </w:tcPr>
          <w:p>
            <w:pPr>
              <w:pStyle w:val="MdTableCell"/>
            </w:pPr>
            <w:r>
              <w:t xml:space="preserve">5 years</w:t>
            </w:r>
          </w:p>
        </w:tc>
        <w:tc>
          <w:tcPr>
            <w:tcBorders>
              <w:right w:val="none"/>
            </w:tcBorders>
            <w:tcMar>
              <w:top w:type="dxa" w:w="80"/>
              <w:left w:type="dxa" w:w="120"/>
              <w:bottom w:type="dxa" w:w="80"/>
              <w:right w:type="dxa" w:w="120"/>
            </w:tcMar>
            <w:vAlign w:val="center"/>
          </w:tcPr>
          <w:p>
            <w:pPr>
              <w:pStyle w:val="MdTableCell"/>
            </w:pPr>
            <w:r>
              <w:t xml:space="preserve">Financial Regulations, Audit Requirements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Loan Records</w:t>
            </w:r>
          </w:p>
        </w:tc>
        <w:tc>
          <w:tcPr>
            <w:tcMar>
              <w:top w:type="dxa" w:w="80"/>
              <w:left w:type="dxa" w:w="120"/>
              <w:bottom w:type="dxa" w:w="80"/>
              <w:right w:type="dxa" w:w="120"/>
            </w:tcMar>
            <w:vAlign w:val="center"/>
          </w:tcPr>
          <w:p>
            <w:pPr>
              <w:pStyle w:val="MdTableCell"/>
            </w:pPr>
            <w:r>
              <w:t xml:space="preserve">7 years after loan repayment</w:t>
            </w:r>
          </w:p>
        </w:tc>
        <w:tc>
          <w:tcPr>
            <w:tcBorders>
              <w:right w:val="none"/>
            </w:tcBorders>
            <w:tcMar>
              <w:top w:type="dxa" w:w="80"/>
              <w:left w:type="dxa" w:w="120"/>
              <w:bottom w:type="dxa" w:w="80"/>
              <w:right w:type="dxa" w:w="120"/>
            </w:tcMar>
            <w:vAlign w:val="center"/>
          </w:tcPr>
          <w:p>
            <w:pPr>
              <w:pStyle w:val="MdTableCell"/>
            </w:pPr>
            <w:r>
              <w:t xml:space="preserve">Sacco Societies Act, Credit Regulations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KYC/AML Documentation</w:t>
            </w:r>
          </w:p>
        </w:tc>
        <w:tc>
          <w:tcPr>
            <w:tcMar>
              <w:top w:type="dxa" w:w="80"/>
              <w:left w:type="dxa" w:w="120"/>
              <w:bottom w:type="dxa" w:w="80"/>
              <w:right w:type="dxa" w:w="120"/>
            </w:tcMar>
            <w:vAlign w:val="center"/>
          </w:tcPr>
          <w:p>
            <w:pPr>
              <w:pStyle w:val="MdTableCell"/>
            </w:pPr>
            <w:r>
              <w:t xml:space="preserve">5 years after relationship termination</w:t>
            </w:r>
          </w:p>
        </w:tc>
        <w:tc>
          <w:tcPr>
            <w:tcBorders>
              <w:right w:val="none"/>
            </w:tcBorders>
            <w:tcMar>
              <w:top w:type="dxa" w:w="80"/>
              <w:left w:type="dxa" w:w="120"/>
              <w:bottom w:type="dxa" w:w="80"/>
              <w:right w:type="dxa" w:w="120"/>
            </w:tcMar>
            <w:vAlign w:val="center"/>
          </w:tcPr>
          <w:p>
            <w:pPr>
              <w:pStyle w:val="MdTableCell"/>
            </w:pPr>
            <w:r>
              <w:t xml:space="preserve">AML Regulations, SASRA Guidelines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CCTV Footage</w:t>
            </w:r>
          </w:p>
        </w:tc>
        <w:tc>
          <w:tcPr>
            <w:tcMar>
              <w:top w:type="dxa" w:w="80"/>
              <w:left w:type="dxa" w:w="120"/>
              <w:bottom w:type="dxa" w:w="80"/>
              <w:right w:type="dxa" w:w="120"/>
            </w:tcMar>
            <w:vAlign w:val="center"/>
          </w:tcPr>
          <w:p>
            <w:pPr>
              <w:pStyle w:val="MdTableCell"/>
            </w:pPr>
            <w:r>
              <w:t xml:space="preserve">30-90 days (or as required by law)</w:t>
            </w:r>
          </w:p>
        </w:tc>
        <w:tc>
          <w:tcPr>
            <w:tcBorders>
              <w:right w:val="none"/>
            </w:tcBorders>
            <w:tcMar>
              <w:top w:type="dxa" w:w="80"/>
              <w:left w:type="dxa" w:w="120"/>
              <w:bottom w:type="dxa" w:w="80"/>
              <w:right w:type="dxa" w:w="120"/>
            </w:tcMar>
            <w:vAlign w:val="center"/>
          </w:tcPr>
          <w:p>
            <w:pPr>
              <w:pStyle w:val="MdTableCell"/>
            </w:pPr>
            <w:r>
              <w:t xml:space="preserve">Security and Fraud Prevention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Email Communications</w:t>
            </w:r>
          </w:p>
        </w:tc>
        <w:tc>
          <w:tcPr>
            <w:tcMar>
              <w:top w:type="dxa" w:w="80"/>
              <w:left w:type="dxa" w:w="120"/>
              <w:bottom w:type="dxa" w:w="80"/>
              <w:right w:type="dxa" w:w="120"/>
            </w:tcMar>
            <w:vAlign w:val="center"/>
          </w:tcPr>
          <w:p>
            <w:pPr>
              <w:pStyle w:val="MdTableCell"/>
            </w:pPr>
            <w:r>
              <w:t xml:space="preserve">3-5 years</w:t>
            </w:r>
          </w:p>
        </w:tc>
        <w:tc>
          <w:tcPr>
            <w:tcBorders>
              <w:right w:val="none"/>
            </w:tcBorders>
            <w:tcMar>
              <w:top w:type="dxa" w:w="80"/>
              <w:left w:type="dxa" w:w="120"/>
              <w:bottom w:type="dxa" w:w="80"/>
              <w:right w:type="dxa" w:w="120"/>
            </w:tcMar>
            <w:vAlign w:val="center"/>
          </w:tcPr>
          <w:p>
            <w:pPr>
              <w:pStyle w:val="MdTableCell"/>
            </w:pPr>
            <w:r>
              <w:t xml:space="preserve">Legal and Compliance Requirements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Employee Records</w:t>
            </w:r>
          </w:p>
        </w:tc>
        <w:tc>
          <w:tcPr>
            <w:tcMar>
              <w:top w:type="dxa" w:w="80"/>
              <w:left w:type="dxa" w:w="120"/>
              <w:bottom w:type="dxa" w:w="80"/>
              <w:right w:type="dxa" w:w="120"/>
            </w:tcMar>
            <w:vAlign w:val="center"/>
          </w:tcPr>
          <w:p>
            <w:pPr>
              <w:pStyle w:val="MdTableCell"/>
            </w:pPr>
            <w:r>
              <w:t xml:space="preserve">3 years after employment termination</w:t>
            </w:r>
          </w:p>
        </w:tc>
        <w:tc>
          <w:tcPr>
            <w:tcBorders>
              <w:right w:val="none"/>
            </w:tcBorders>
            <w:tcMar>
              <w:top w:type="dxa" w:w="80"/>
              <w:left w:type="dxa" w:w="120"/>
              <w:bottom w:type="dxa" w:w="80"/>
              <w:right w:type="dxa" w:w="120"/>
            </w:tcMar>
            <w:vAlign w:val="center"/>
          </w:tcPr>
          <w:p>
            <w:pPr>
              <w:pStyle w:val="MdTableCell"/>
            </w:pPr>
            <w:r>
              <w:t xml:space="preserve">Employment Laws, Tax Requirements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Marketing Consent Records</w:t>
            </w:r>
          </w:p>
        </w:tc>
        <w:tc>
          <w:tcPr>
            <w:tcMar>
              <w:top w:type="dxa" w:w="80"/>
              <w:left w:type="dxa" w:w="120"/>
              <w:bottom w:type="dxa" w:w="80"/>
              <w:right w:type="dxa" w:w="120"/>
            </w:tcMar>
            <w:vAlign w:val="center"/>
          </w:tcPr>
          <w:p>
            <w:pPr>
              <w:pStyle w:val="MdTableCell"/>
            </w:pPr>
            <w:r>
              <w:t xml:space="preserve">Duration of consent + 2 years</w:t>
            </w:r>
          </w:p>
        </w:tc>
        <w:tc>
          <w:tcPr>
            <w:tcBorders>
              <w:right w:val="none"/>
            </w:tcBorders>
            <w:tcMar>
              <w:top w:type="dxa" w:w="80"/>
              <w:left w:type="dxa" w:w="120"/>
              <w:bottom w:type="dxa" w:w="80"/>
              <w:right w:type="dxa" w:w="120"/>
            </w:tcMar>
            <w:vAlign w:val="center"/>
          </w:tcPr>
          <w:p>
            <w:pPr>
              <w:pStyle w:val="MdTableCell"/>
            </w:pPr>
            <w:r>
              <w:t xml:space="preserve">GDPR-aligned best practice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Audit Logs and Access Records</w:t>
            </w:r>
          </w:p>
        </w:tc>
        <w:tc>
          <w:tcPr>
            <w:tcMar>
              <w:top w:type="dxa" w:w="80"/>
              <w:left w:type="dxa" w:w="120"/>
              <w:bottom w:type="dxa" w:w="80"/>
              <w:right w:type="dxa" w:w="120"/>
            </w:tcMar>
            <w:vAlign w:val="center"/>
          </w:tcPr>
          <w:p>
            <w:pPr>
              <w:pStyle w:val="MdTableCell"/>
            </w:pPr>
            <w:r>
              <w:t xml:space="preserve">2 years</w:t>
            </w:r>
          </w:p>
        </w:tc>
        <w:tc>
          <w:tcPr>
            <w:tcBorders>
              <w:right w:val="none"/>
            </w:tcBorders>
            <w:tcMar>
              <w:top w:type="dxa" w:w="80"/>
              <w:left w:type="dxa" w:w="120"/>
              <w:bottom w:type="dxa" w:w="80"/>
              <w:right w:type="dxa" w:w="120"/>
            </w:tcMar>
            <w:vAlign w:val="center"/>
          </w:tcPr>
          <w:p>
            <w:pPr>
              <w:pStyle w:val="MdTableCell"/>
            </w:pPr>
            <w:r>
              <w:t xml:space="preserve">Security and Compliance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Incident and Breach Records</w:t>
            </w:r>
          </w:p>
        </w:tc>
        <w:tc>
          <w:tcPr>
            <w:tcBorders>
              <w:bottom w:val="single" w:color="E1E4E8" w:sz="4"/>
            </w:tcBorders>
            <w:tcMar>
              <w:top w:type="dxa" w:w="80"/>
              <w:left w:type="dxa" w:w="120"/>
              <w:bottom w:type="dxa" w:w="80"/>
              <w:right w:type="dxa" w:w="120"/>
            </w:tcMar>
            <w:vAlign w:val="center"/>
          </w:tcPr>
          <w:p>
            <w:pPr>
              <w:pStyle w:val="MdTableCell"/>
            </w:pPr>
            <w:r>
              <w:t xml:space="preserve">3 years</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Regulatory and Legal Requirements</w:t>
            </w:r>
          </w:p>
        </w:tc>
      </w:tr>
    </w:tbl>
    <w:p>
      <w:pPr>
        <w:pStyle w:val="Heading3"/>
        <w:pStyle w:val="MdHeading3"/>
      </w:pPr>
      <w:r>
        <w:t xml:space="preserve">6.3 Data Disposal</w:t>
      </w:r>
    </w:p>
    <w:p>
      <w:pPr>
        <w:pStyle w:val="MdParagraph"/>
      </w:pPr>
      <w:r>
        <w:t xml:space="preserve">Upon expiry of the retention period, your personal data is disposed of securely through:</w:t>
      </w:r>
    </w:p>
    <w:p>
      <w:pPr>
        <w:pStyle w:val="MdSpace"/>
        <w:spacing w:before="0" w:after="60"/>
      </w:pPr>
    </w:p>
    <w:p>
      <w:pPr>
        <w:pStyle w:val="MdListItem"/>
        <w:numPr>
          <w:ilvl w:val="0"/>
          <w:numId w:val="2"/>
        </w:numPr>
      </w:pPr>
      <w:r>
        <w:rPr>
          <w:rStyle w:val="MdStrong"/>
          <w:b/>
          <w:bCs/>
        </w:rPr>
        <w:t xml:space="preserve">Secure Deletion:</w:t>
      </w:r>
      <w:r>
        <w:t xml:space="preserve"> Electronic data is permanently deleted using industry-standard data destruction tools</w:t>
      </w:r>
    </w:p>
    <w:p>
      <w:pPr>
        <w:pStyle w:val="MdListItem"/>
        <w:numPr>
          <w:ilvl w:val="0"/>
          <w:numId w:val="2"/>
        </w:numPr>
      </w:pPr>
      <w:r>
        <w:rPr>
          <w:rStyle w:val="MdStrong"/>
          <w:b/>
          <w:bCs/>
        </w:rPr>
        <w:t xml:space="preserve">Anonymization:</w:t>
      </w:r>
      <w:r>
        <w:t xml:space="preserve"> Data is anonymized so that it can no longer identify you</w:t>
      </w:r>
    </w:p>
    <w:p>
      <w:pPr>
        <w:pStyle w:val="MdListItem"/>
        <w:numPr>
          <w:ilvl w:val="0"/>
          <w:numId w:val="2"/>
        </w:numPr>
      </w:pPr>
      <w:r>
        <w:rPr>
          <w:rStyle w:val="MdStrong"/>
          <w:b/>
          <w:bCs/>
        </w:rPr>
        <w:t xml:space="preserve">Physical Destruction:</w:t>
      </w:r>
      <w:r>
        <w:t xml:space="preserve"> Physical documents are securely shredded or incinerated</w:t>
      </w:r>
    </w:p>
    <w:p>
      <w:pPr>
        <w:pStyle w:val="MdListItem"/>
        <w:numPr>
          <w:ilvl w:val="0"/>
          <w:numId w:val="2"/>
        </w:numPr>
      </w:pPr>
      <w:r>
        <w:rPr>
          <w:rStyle w:val="MdStrong"/>
          <w:b/>
          <w:bCs/>
        </w:rPr>
        <w:t xml:space="preserve">Certified Destruction:</w:t>
      </w:r>
      <w:r>
        <w:t xml:space="preserve"> Third-party destruction services provide certificates of destruction</w:t>
      </w:r>
    </w:p>
    <w:p>
      <w:pPr>
        <w:pStyle w:val="MdSpace"/>
        <w:spacing w:before="0" w:after="60"/>
      </w:pPr>
    </w:p>
    <w:p>
      <w:pPr>
        <w:pStyle w:val="Heading3"/>
        <w:pStyle w:val="MdHeading3"/>
      </w:pPr>
      <w:r>
        <w:t xml:space="preserve">6.4 Dormant Accounts</w:t>
      </w:r>
    </w:p>
    <w:p>
      <w:pPr>
        <w:pStyle w:val="MdParagraph"/>
      </w:pPr>
      <w:r>
        <w:t xml:space="preserve">Accounts that have had no transaction activity for the maximum period prescribed by SASRA regulations are classified as dormant. Personal data from dormant accounts is retained in accordance with applicable regulations and may be disposed of after the prescribed period if no activity is recorded.</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7. YOUR DATA SUBJECT RIGHTS</w:t>
      </w:r>
    </w:p>
    <w:p>
      <w:pPr>
        <w:pStyle w:val="MdParagraph"/>
      </w:pPr>
      <w:r>
        <w:t xml:space="preserve">Under the Kenya Data Protection Act, 2019, you have the following rights regarding your personal data:</w:t>
      </w:r>
    </w:p>
    <w:p>
      <w:pPr>
        <w:pStyle w:val="MdSpace"/>
        <w:spacing w:before="0" w:after="60"/>
      </w:pPr>
    </w:p>
    <w:p>
      <w:pPr>
        <w:pStyle w:val="Heading3"/>
        <w:pStyle w:val="MdHeading3"/>
      </w:pPr>
      <w:r>
        <w:t xml:space="preserve">7.1 Right to be Informed</w:t>
      </w:r>
    </w:p>
    <w:p>
      <w:pPr>
        <w:pStyle w:val="MdParagraph"/>
      </w:pPr>
      <w:r>
        <w:t xml:space="preserve">You have the right to be informed about how your personal data is being collected and processed. This Privacy Policy provides you with this information.</w:t>
      </w:r>
    </w:p>
    <w:p>
      <w:pPr>
        <w:pStyle w:val="MdSpace"/>
        <w:spacing w:before="0" w:after="60"/>
      </w:pPr>
    </w:p>
    <w:p>
      <w:pPr>
        <w:pStyle w:val="Heading3"/>
        <w:pStyle w:val="MdHeading3"/>
      </w:pPr>
      <w:r>
        <w:t xml:space="preserve">7.2 Right of Access</w:t>
      </w:r>
    </w:p>
    <w:p>
      <w:pPr>
        <w:pStyle w:val="MdParagraph"/>
      </w:pPr>
      <w:r>
        <w:t xml:space="preserve">You have the right to request a copy of the personal data we hold about you. To exercise this right:</w:t>
      </w:r>
    </w:p>
    <w:p>
      <w:pPr>
        <w:pStyle w:val="MdSpace"/>
        <w:spacing w:before="0" w:after="60"/>
      </w:pPr>
    </w:p>
    <w:p>
      <w:pPr>
        <w:pStyle w:val="MdListItem"/>
        <w:numPr>
          <w:ilvl w:val="0"/>
          <w:numId w:val="2"/>
        </w:numPr>
      </w:pPr>
      <w:r>
        <w:t xml:space="preserve">Submit a written request to our Data Protection Officer</w:t>
      </w:r>
    </w:p>
    <w:p>
      <w:pPr>
        <w:pStyle w:val="MdListItem"/>
        <w:numPr>
          <w:ilvl w:val="0"/>
          <w:numId w:val="2"/>
        </w:numPr>
      </w:pPr>
      <w:r>
        <w:t xml:space="preserve">Include sufficient information to identify you</w:t>
      </w:r>
    </w:p>
    <w:p>
      <w:pPr>
        <w:pStyle w:val="MdListItem"/>
        <w:numPr>
          <w:ilvl w:val="0"/>
          <w:numId w:val="2"/>
        </w:numPr>
      </w:pPr>
      <w:r>
        <w:t xml:space="preserve">We will respond within 30 calendar days</w:t>
      </w:r>
    </w:p>
    <w:p>
      <w:pPr>
        <w:pStyle w:val="MdListItem"/>
        <w:numPr>
          <w:ilvl w:val="0"/>
          <w:numId w:val="2"/>
        </w:numPr>
      </w:pPr>
      <w:r>
        <w:t xml:space="preserve">We may request reasonable proof of identity</w:t>
      </w:r>
    </w:p>
    <w:p>
      <w:pPr>
        <w:pStyle w:val="MdListItem"/>
        <w:numPr>
          <w:ilvl w:val="0"/>
          <w:numId w:val="2"/>
        </w:numPr>
      </w:pPr>
      <w:r>
        <w:t xml:space="preserve">We will provide the information in a commonly used electronic format</w:t>
      </w:r>
    </w:p>
    <w:p>
      <w:pPr>
        <w:pStyle w:val="MdSpace"/>
        <w:spacing w:before="0" w:after="60"/>
      </w:pPr>
    </w:p>
    <w:p>
      <w:pPr>
        <w:pStyle w:val="Heading3"/>
        <w:pStyle w:val="MdHeading3"/>
      </w:pPr>
      <w:r>
        <w:t xml:space="preserve">7.3 Right to Rectification</w:t>
      </w:r>
    </w:p>
    <w:p>
      <w:pPr>
        <w:pStyle w:val="MdParagraph"/>
      </w:pPr>
      <w:r>
        <w:t xml:space="preserve">You have the right to request correction of inaccurate, incomplete, or outdated personal data. To exercise this right:</w:t>
      </w:r>
    </w:p>
    <w:p>
      <w:pPr>
        <w:pStyle w:val="MdSpace"/>
        <w:spacing w:before="0" w:after="60"/>
      </w:pPr>
    </w:p>
    <w:p>
      <w:pPr>
        <w:pStyle w:val="MdListItem"/>
        <w:numPr>
          <w:ilvl w:val="0"/>
          <w:numId w:val="2"/>
        </w:numPr>
      </w:pPr>
      <w:r>
        <w:t xml:space="preserve">Contact our Data Protection Officer with details of the inaccuracy</w:t>
      </w:r>
    </w:p>
    <w:p>
      <w:pPr>
        <w:pStyle w:val="MdListItem"/>
        <w:numPr>
          <w:ilvl w:val="0"/>
          <w:numId w:val="2"/>
        </w:numPr>
      </w:pPr>
      <w:r>
        <w:t xml:space="preserve">We will correct the data within 30 calendar days</w:t>
      </w:r>
    </w:p>
    <w:p>
      <w:pPr>
        <w:pStyle w:val="MdListItem"/>
        <w:numPr>
          <w:ilvl w:val="0"/>
          <w:numId w:val="2"/>
        </w:numPr>
      </w:pPr>
      <w:r>
        <w:t xml:space="preserve">We will notify relevant third parties if the data has been shared</w:t>
      </w:r>
    </w:p>
    <w:p>
      <w:pPr>
        <w:pStyle w:val="MdSpace"/>
        <w:spacing w:before="0" w:after="60"/>
      </w:pPr>
    </w:p>
    <w:p>
      <w:pPr>
        <w:pStyle w:val="Heading3"/>
        <w:pStyle w:val="MdHeading3"/>
      </w:pPr>
      <w:r>
        <w:t xml:space="preserve">7.4 Right to Erasure (Right to be Forgotten)</w:t>
      </w:r>
    </w:p>
    <w:p>
      <w:pPr>
        <w:pStyle w:val="MdParagraph"/>
      </w:pPr>
      <w:r>
        <w:t xml:space="preserve">You have the right to request the deletion of your personal data, subject to legal and regulatory retention requirements. To exercise this right:</w:t>
      </w:r>
    </w:p>
    <w:p>
      <w:pPr>
        <w:pStyle w:val="MdSpace"/>
        <w:spacing w:before="0" w:after="60"/>
      </w:pPr>
    </w:p>
    <w:p>
      <w:pPr>
        <w:pStyle w:val="MdListItem"/>
        <w:numPr>
          <w:ilvl w:val="0"/>
          <w:numId w:val="2"/>
        </w:numPr>
      </w:pPr>
      <w:r>
        <w:t xml:space="preserve">Submit a written request to our Data Protection Officer</w:t>
      </w:r>
    </w:p>
    <w:p>
      <w:pPr>
        <w:pStyle w:val="MdListItem"/>
        <w:numPr>
          <w:ilvl w:val="0"/>
          <w:numId w:val="2"/>
        </w:numPr>
      </w:pPr>
      <w:r>
        <w:t xml:space="preserve">We will assess whether deletion is possible given legal obligations</w:t>
      </w:r>
    </w:p>
    <w:p>
      <w:pPr>
        <w:pStyle w:val="MdListItem"/>
        <w:numPr>
          <w:ilvl w:val="0"/>
          <w:numId w:val="2"/>
        </w:numPr>
      </w:pPr>
      <w:r>
        <w:t xml:space="preserve">We may not be able to delete data required for regulatory compliance or legal proceedings</w:t>
      </w:r>
    </w:p>
    <w:p>
      <w:pPr>
        <w:pStyle w:val="MdListItem"/>
        <w:numPr>
          <w:ilvl w:val="0"/>
          <w:numId w:val="2"/>
        </w:numPr>
      </w:pPr>
      <w:r>
        <w:t xml:space="preserve">We will respond within 30 calendar days</w:t>
      </w:r>
    </w:p>
    <w:p>
      <w:pPr>
        <w:pStyle w:val="MdListItem"/>
        <w:numPr>
          <w:ilvl w:val="0"/>
          <w:numId w:val="2"/>
        </w:numPr>
      </w:pPr>
      <w:r>
        <w:t xml:space="preserve">We will notify relevant third parties of the deletion</w:t>
      </w:r>
    </w:p>
    <w:p>
      <w:pPr>
        <w:pStyle w:val="MdSpace"/>
        <w:spacing w:before="0" w:after="60"/>
      </w:pPr>
    </w:p>
    <w:p>
      <w:pPr>
        <w:pStyle w:val="Heading3"/>
        <w:pStyle w:val="MdHeading3"/>
      </w:pPr>
      <w:r>
        <w:t xml:space="preserve">7.5 Right to Object</w:t>
      </w:r>
    </w:p>
    <w:p>
      <w:pPr>
        <w:pStyle w:val="MdParagraph"/>
      </w:pPr>
      <w:r>
        <w:t xml:space="preserve">You have the right to object to the processing of your personal data for:</w:t>
      </w:r>
    </w:p>
    <w:p>
      <w:pPr>
        <w:pStyle w:val="MdSpace"/>
        <w:spacing w:before="0" w:after="60"/>
      </w:pPr>
    </w:p>
    <w:p>
      <w:pPr>
        <w:pStyle w:val="MdListItem"/>
        <w:numPr>
          <w:ilvl w:val="0"/>
          <w:numId w:val="2"/>
        </w:numPr>
      </w:pPr>
      <w:r>
        <w:t xml:space="preserve">Direct marketing and promotional communications</w:t>
      </w:r>
    </w:p>
    <w:p>
      <w:pPr>
        <w:pStyle w:val="MdListItem"/>
        <w:numPr>
          <w:ilvl w:val="0"/>
          <w:numId w:val="2"/>
        </w:numPr>
      </w:pPr>
      <w:r>
        <w:t xml:space="preserve">Processing based on legitimate interests</w:t>
      </w:r>
    </w:p>
    <w:p>
      <w:pPr>
        <w:pStyle w:val="MdListItem"/>
        <w:numPr>
          <w:ilvl w:val="0"/>
          <w:numId w:val="2"/>
        </w:numPr>
      </w:pPr>
      <w:r>
        <w:t xml:space="preserve">Automated decision-making and profiling</w:t>
      </w:r>
    </w:p>
    <w:p>
      <w:pPr>
        <w:pStyle w:val="MdSpace"/>
        <w:spacing w:before="0" w:after="60"/>
      </w:pPr>
    </w:p>
    <w:p>
      <w:pPr>
        <w:pStyle w:val="MdParagraph"/>
      </w:pPr>
      <w:r>
        <w:t xml:space="preserve">To exercise this right:</w:t>
      </w:r>
    </w:p>
    <w:p>
      <w:pPr>
        <w:pStyle w:val="MdSpace"/>
        <w:spacing w:before="0" w:after="60"/>
      </w:pPr>
    </w:p>
    <w:p>
      <w:pPr>
        <w:pStyle w:val="MdListItem"/>
        <w:numPr>
          <w:ilvl w:val="0"/>
          <w:numId w:val="2"/>
        </w:numPr>
      </w:pPr>
      <w:r>
        <w:t xml:space="preserve">Contact our Data Protection Officer with details of your objection</w:t>
      </w:r>
    </w:p>
    <w:p>
      <w:pPr>
        <w:pStyle w:val="MdListItem"/>
        <w:numPr>
          <w:ilvl w:val="0"/>
          <w:numId w:val="2"/>
        </w:numPr>
      </w:pPr>
      <w:r>
        <w:t xml:space="preserve">We will cease processing unless we have a compelling legal reason to continue</w:t>
      </w:r>
    </w:p>
    <w:p>
      <w:pPr>
        <w:pStyle w:val="MdListItem"/>
        <w:numPr>
          <w:ilvl w:val="0"/>
          <w:numId w:val="2"/>
        </w:numPr>
      </w:pPr>
      <w:r>
        <w:t xml:space="preserve">We will respond within 30 calendar days</w:t>
      </w:r>
    </w:p>
    <w:p>
      <w:pPr>
        <w:pStyle w:val="MdSpace"/>
        <w:spacing w:before="0" w:after="60"/>
      </w:pPr>
    </w:p>
    <w:p>
      <w:pPr>
        <w:pStyle w:val="Heading3"/>
        <w:pStyle w:val="MdHeading3"/>
      </w:pPr>
      <w:r>
        <w:t xml:space="preserve">7.6 Right to Data Portability</w:t>
      </w:r>
    </w:p>
    <w:p>
      <w:pPr>
        <w:pStyle w:val="MdParagraph"/>
      </w:pPr>
      <w:r>
        <w:t xml:space="preserve">You have the right to request the transfer of your personal data to another data controller in a structured, commonly used, machine-readable format. To exercise this right:</w:t>
      </w:r>
    </w:p>
    <w:p>
      <w:pPr>
        <w:pStyle w:val="MdSpace"/>
        <w:spacing w:before="0" w:after="60"/>
      </w:pPr>
    </w:p>
    <w:p>
      <w:pPr>
        <w:pStyle w:val="MdListItem"/>
        <w:numPr>
          <w:ilvl w:val="0"/>
          <w:numId w:val="2"/>
        </w:numPr>
      </w:pPr>
      <w:r>
        <w:t xml:space="preserve">Submit a written request to our Data Protection Officer</w:t>
      </w:r>
    </w:p>
    <w:p>
      <w:pPr>
        <w:pStyle w:val="MdListItem"/>
        <w:numPr>
          <w:ilvl w:val="0"/>
          <w:numId w:val="2"/>
        </w:numPr>
      </w:pPr>
      <w:r>
        <w:t xml:space="preserve">We will provide your data in a portable format within 30 calendar days</w:t>
      </w:r>
    </w:p>
    <w:p>
      <w:pPr>
        <w:pStyle w:val="MdListItem"/>
        <w:numPr>
          <w:ilvl w:val="0"/>
          <w:numId w:val="2"/>
        </w:numPr>
      </w:pPr>
      <w:r>
        <w:t xml:space="preserve">We will transmit the data directly to another controller if technically feasible</w:t>
      </w:r>
    </w:p>
    <w:p>
      <w:pPr>
        <w:pStyle w:val="MdSpace"/>
        <w:spacing w:before="0" w:after="60"/>
      </w:pPr>
    </w:p>
    <w:p>
      <w:pPr>
        <w:pStyle w:val="Heading3"/>
        <w:pStyle w:val="MdHeading3"/>
      </w:pPr>
      <w:r>
        <w:t xml:space="preserve">7.7 Right to Restrict Processing</w:t>
      </w:r>
    </w:p>
    <w:p>
      <w:pPr>
        <w:pStyle w:val="MdParagraph"/>
      </w:pPr>
      <w:r>
        <w:t xml:space="preserve">You have the right to request a temporary halt to the processing of your personal data under specific circumstances, including:</w:t>
      </w:r>
    </w:p>
    <w:p>
      <w:pPr>
        <w:pStyle w:val="MdSpace"/>
        <w:spacing w:before="0" w:after="60"/>
      </w:pPr>
    </w:p>
    <w:p>
      <w:pPr>
        <w:pStyle w:val="MdListItem"/>
        <w:numPr>
          <w:ilvl w:val="0"/>
          <w:numId w:val="2"/>
        </w:numPr>
      </w:pPr>
      <w:r>
        <w:t xml:space="preserve">If you dispute the accuracy of the data</w:t>
      </w:r>
    </w:p>
    <w:p>
      <w:pPr>
        <w:pStyle w:val="MdListItem"/>
        <w:numPr>
          <w:ilvl w:val="0"/>
          <w:numId w:val="2"/>
        </w:numPr>
      </w:pPr>
      <w:r>
        <w:t xml:space="preserve">If the processing is unlawful but you prefer restriction to deletion</w:t>
      </w:r>
    </w:p>
    <w:p>
      <w:pPr>
        <w:pStyle w:val="MdListItem"/>
        <w:numPr>
          <w:ilvl w:val="0"/>
          <w:numId w:val="2"/>
        </w:numPr>
      </w:pPr>
      <w:r>
        <w:t xml:space="preserve">If we no longer need the data but you require it for legal claims</w:t>
      </w:r>
    </w:p>
    <w:p>
      <w:pPr>
        <w:pStyle w:val="MdListItem"/>
        <w:numPr>
          <w:ilvl w:val="0"/>
          <w:numId w:val="2"/>
        </w:numPr>
      </w:pPr>
      <w:r>
        <w:t xml:space="preserve">If you have objected to processing pending verification</w:t>
      </w:r>
    </w:p>
    <w:p>
      <w:pPr>
        <w:pStyle w:val="MdSpace"/>
        <w:spacing w:before="0" w:after="60"/>
      </w:pPr>
    </w:p>
    <w:p>
      <w:pPr>
        <w:pStyle w:val="Heading3"/>
        <w:pStyle w:val="MdHeading3"/>
      </w:pPr>
      <w:r>
        <w:t xml:space="preserve">7.8 Right to Lodge a Complaint</w:t>
      </w:r>
    </w:p>
    <w:p>
      <w:pPr>
        <w:pStyle w:val="MdParagraph"/>
      </w:pPr>
      <w:r>
        <w:t xml:space="preserve">If you are not satisfied with how we handle your personal data, you have the right to lodge a complaint with the Office of the Data Protection Commissioner (ODPC) in Kenya:</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Detail</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Information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Organization</w:t>
            </w:r>
          </w:p>
        </w:tc>
        <w:tc>
          <w:tcPr>
            <w:tcBorders>
              <w:right w:val="none"/>
            </w:tcBorders>
            <w:tcMar>
              <w:top w:type="dxa" w:w="80"/>
              <w:left w:type="dxa" w:w="120"/>
              <w:bottom w:type="dxa" w:w="80"/>
              <w:right w:type="dxa" w:w="120"/>
            </w:tcMar>
            <w:vAlign w:val="center"/>
          </w:tcPr>
          <w:p>
            <w:pPr>
              <w:pStyle w:val="MdTableCell"/>
            </w:pPr>
            <w:r>
              <w:t xml:space="preserve">Office of the Data Protection Commissioner (ODPC)</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Website</w:t>
            </w:r>
          </w:p>
        </w:tc>
        <w:tc>
          <w:tcPr>
            <w:tcBorders>
              <w:right w:val="none"/>
            </w:tcBorders>
            <w:tcMar>
              <w:top w:type="dxa" w:w="80"/>
              <w:left w:type="dxa" w:w="120"/>
              <w:bottom w:type="dxa" w:w="80"/>
              <w:right w:type="dxa" w:w="120"/>
            </w:tcMar>
            <w:vAlign w:val="center"/>
          </w:tcPr>
          <w:p>
            <w:pPr>
              <w:pStyle w:val="MdTableCell"/>
            </w:pPr>
            <w:hyperlink w:history="1" r:id="rIdgt6eavupfd-dqourghqvg">
              <w:r>
                <w:rPr>
                  <w:rStyle w:val="MdLink"/>
                </w:rPr>
                <w:t xml:space="preserve">www.odpc.go.ke</w:t>
              </w:r>
            </w:hyperlink>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Email</w:t>
            </w:r>
          </w:p>
        </w:tc>
        <w:tc>
          <w:tcPr>
            <w:tcBorders>
              <w:right w:val="none"/>
            </w:tcBorders>
            <w:tcMar>
              <w:top w:type="dxa" w:w="80"/>
              <w:left w:type="dxa" w:w="120"/>
              <w:bottom w:type="dxa" w:w="80"/>
              <w:right w:type="dxa" w:w="120"/>
            </w:tcMar>
            <w:vAlign w:val="center"/>
          </w:tcPr>
          <w:p>
            <w:pPr>
              <w:pStyle w:val="MdTableCell"/>
            </w:pPr>
            <w:hyperlink w:history="1" r:id="rIdvrzjjay3gk2eifsakwiex">
              <w:r>
                <w:rPr>
                  <w:rStyle w:val="MdLink"/>
                </w:rPr>
                <w:t xml:space="preserve">complaints@odpc.go.ke</w:t>
              </w:r>
            </w:hyperlink>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Telephone</w:t>
            </w:r>
          </w:p>
        </w:tc>
        <w:tc>
          <w:tcPr>
            <w:tcBorders>
              <w:right w:val="none"/>
            </w:tcBorders>
            <w:tcMar>
              <w:top w:type="dxa" w:w="80"/>
              <w:left w:type="dxa" w:w="120"/>
              <w:bottom w:type="dxa" w:w="80"/>
              <w:right w:type="dxa" w:w="120"/>
            </w:tcMar>
            <w:vAlign w:val="center"/>
          </w:tcPr>
          <w:p>
            <w:pPr>
              <w:pStyle w:val="MdTableCell"/>
            </w:pPr>
            <w:r>
              <w:t xml:space="preserve">+254 (0) 20 2720 000</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Physical Address</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Waiyaki Way, Westlands, Nairobi, Kenya</w:t>
            </w:r>
          </w:p>
        </w:tc>
      </w:tr>
    </w:tbl>
    <w:p>
      <w:pPr>
        <w:pStyle w:val="Heading3"/>
        <w:pStyle w:val="MdHeading3"/>
      </w:pPr>
      <w:r>
        <w:t xml:space="preserve">7.9 Exercising Your Rights</w:t>
      </w:r>
    </w:p>
    <w:p>
      <w:pPr>
        <w:pStyle w:val="MdParagraph"/>
      </w:pPr>
      <w:r>
        <w:t xml:space="preserve">To exercise any of your data subject rights:</w:t>
      </w:r>
    </w:p>
    <w:p>
      <w:pPr>
        <w:pStyle w:val="MdSpace"/>
        <w:spacing w:before="0" w:after="60"/>
      </w:pPr>
    </w:p>
    <w:p>
      <w:pPr>
        <w:pStyle w:val="MdListItem"/>
        <w:numPr>
          <w:ilvl w:val="0"/>
          <w:numId w:val="3"/>
        </w:numPr>
      </w:pPr>
      <w:r>
        <w:rPr>
          <w:rStyle w:val="MdStrong"/>
          <w:b/>
          <w:bCs/>
        </w:rPr>
        <w:t xml:space="preserve">Contact our Data Protection Officer</w:t>
      </w:r>
      <w:r>
        <w:t xml:space="preserve"> using the contact details provided in Section 10</w:t>
      </w:r>
    </w:p>
    <w:p>
      <w:pPr>
        <w:pStyle w:val="MdListItem"/>
        <w:numPr>
          <w:ilvl w:val="0"/>
          <w:numId w:val="3"/>
        </w:numPr>
      </w:pPr>
      <w:r>
        <w:rPr>
          <w:rStyle w:val="MdStrong"/>
          <w:b/>
          <w:bCs/>
        </w:rPr>
        <w:t xml:space="preserve">Provide sufficient information</w:t>
      </w:r>
      <w:r>
        <w:t xml:space="preserve"> to identify you and your request</w:t>
      </w:r>
    </w:p>
    <w:p>
      <w:pPr>
        <w:pStyle w:val="MdListItem"/>
        <w:numPr>
          <w:ilvl w:val="0"/>
          <w:numId w:val="3"/>
        </w:numPr>
      </w:pPr>
      <w:r>
        <w:rPr>
          <w:rStyle w:val="MdStrong"/>
          <w:b/>
          <w:bCs/>
        </w:rPr>
        <w:t xml:space="preserve">Include proof of identity</w:t>
      </w:r>
      <w:r>
        <w:t xml:space="preserve"> if requested</w:t>
      </w:r>
    </w:p>
    <w:p>
      <w:pPr>
        <w:pStyle w:val="MdListItem"/>
        <w:numPr>
          <w:ilvl w:val="0"/>
          <w:numId w:val="3"/>
        </w:numPr>
      </w:pPr>
      <w:r>
        <w:rPr>
          <w:rStyle w:val="MdStrong"/>
          <w:b/>
          <w:bCs/>
        </w:rPr>
        <w:t xml:space="preserve">Specify the right</w:t>
      </w:r>
      <w:r>
        <w:t xml:space="preserve"> you wish to exercise</w:t>
      </w:r>
    </w:p>
    <w:p>
      <w:pPr>
        <w:pStyle w:val="MdListItem"/>
        <w:numPr>
          <w:ilvl w:val="0"/>
          <w:numId w:val="3"/>
        </w:numPr>
      </w:pPr>
      <w:r>
        <w:rPr>
          <w:rStyle w:val="MdStrong"/>
          <w:b/>
          <w:bCs/>
        </w:rPr>
        <w:t xml:space="preserve">We will respond</w:t>
      </w:r>
      <w:r>
        <w:t xml:space="preserve"> within 30 calendar days (or as required by law)</w:t>
      </w:r>
    </w:p>
    <w:p>
      <w:pPr>
        <w:pStyle w:val="MdListItem"/>
        <w:numPr>
          <w:ilvl w:val="0"/>
          <w:numId w:val="3"/>
        </w:numPr>
      </w:pPr>
      <w:r>
        <w:rPr>
          <w:rStyle w:val="MdStrong"/>
          <w:b/>
          <w:bCs/>
        </w:rPr>
        <w:t xml:space="preserve">Appeal process:</w:t>
      </w:r>
      <w:r>
        <w:t xml:space="preserve"> If your request is denied, you may appeal to the ODPC</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8. AUTOMATED DECISION-MAKING AND PROFILING</w:t>
      </w:r>
    </w:p>
    <w:p>
      <w:pPr>
        <w:pStyle w:val="Heading3"/>
        <w:pStyle w:val="MdHeading3"/>
      </w:pPr>
      <w:r>
        <w:t xml:space="preserve">8.1 Automated Decisions</w:t>
      </w:r>
    </w:p>
    <w:p>
      <w:pPr>
        <w:pStyle w:val="MdParagraph"/>
      </w:pPr>
      <w:r>
        <w:t xml:space="preserve">Fortune Sacco may use automated decision-making systems for:</w:t>
      </w:r>
    </w:p>
    <w:p>
      <w:pPr>
        <w:pStyle w:val="MdSpace"/>
        <w:spacing w:before="0" w:after="60"/>
      </w:pPr>
    </w:p>
    <w:p>
      <w:pPr>
        <w:pStyle w:val="MdListItem"/>
        <w:numPr>
          <w:ilvl w:val="0"/>
          <w:numId w:val="2"/>
        </w:numPr>
      </w:pPr>
      <w:r>
        <w:t xml:space="preserve">Credit scoring and loan eligibility assessment</w:t>
      </w:r>
    </w:p>
    <w:p>
      <w:pPr>
        <w:pStyle w:val="MdListItem"/>
        <w:numPr>
          <w:ilvl w:val="0"/>
          <w:numId w:val="2"/>
        </w:numPr>
      </w:pPr>
      <w:r>
        <w:t xml:space="preserve">Fraud detection and prevention</w:t>
      </w:r>
    </w:p>
    <w:p>
      <w:pPr>
        <w:pStyle w:val="MdListItem"/>
        <w:numPr>
          <w:ilvl w:val="0"/>
          <w:numId w:val="2"/>
        </w:numPr>
      </w:pPr>
      <w:r>
        <w:t xml:space="preserve">Risk profiling and categorization</w:t>
      </w:r>
    </w:p>
    <w:p>
      <w:pPr>
        <w:pStyle w:val="MdListItem"/>
        <w:numPr>
          <w:ilvl w:val="0"/>
          <w:numId w:val="2"/>
        </w:numPr>
      </w:pPr>
      <w:r>
        <w:t xml:space="preserve">Marketing segmentation and targeting</w:t>
      </w:r>
    </w:p>
    <w:p>
      <w:pPr>
        <w:pStyle w:val="MdSpace"/>
        <w:spacing w:before="0" w:after="60"/>
      </w:pPr>
    </w:p>
    <w:p>
      <w:pPr>
        <w:pStyle w:val="Heading3"/>
        <w:pStyle w:val="MdHeading3"/>
      </w:pPr>
      <w:r>
        <w:t xml:space="preserve">8.2 Your Rights</w:t>
      </w:r>
    </w:p>
    <w:p>
      <w:pPr>
        <w:pStyle w:val="MdParagraph"/>
      </w:pPr>
      <w:r>
        <w:t xml:space="preserve">You have the right to:</w:t>
      </w:r>
    </w:p>
    <w:p>
      <w:pPr>
        <w:pStyle w:val="MdSpace"/>
        <w:spacing w:before="0" w:after="60"/>
      </w:pPr>
    </w:p>
    <w:p>
      <w:pPr>
        <w:pStyle w:val="MdListItem"/>
        <w:numPr>
          <w:ilvl w:val="0"/>
          <w:numId w:val="2"/>
        </w:numPr>
      </w:pPr>
      <w:r>
        <w:t xml:space="preserve">Know that automated decision-making is being used</w:t>
      </w:r>
    </w:p>
    <w:p>
      <w:pPr>
        <w:pStyle w:val="MdListItem"/>
        <w:numPr>
          <w:ilvl w:val="0"/>
          <w:numId w:val="2"/>
        </w:numPr>
      </w:pPr>
      <w:r>
        <w:t xml:space="preserve">Request human review of automated decisions</w:t>
      </w:r>
    </w:p>
    <w:p>
      <w:pPr>
        <w:pStyle w:val="MdListItem"/>
        <w:numPr>
          <w:ilvl w:val="0"/>
          <w:numId w:val="2"/>
        </w:numPr>
      </w:pPr>
      <w:r>
        <w:t xml:space="preserve">Challenge automated decisions that significantly affect you</w:t>
      </w:r>
    </w:p>
    <w:p>
      <w:pPr>
        <w:pStyle w:val="MdListItem"/>
        <w:numPr>
          <w:ilvl w:val="0"/>
          <w:numId w:val="2"/>
        </w:numPr>
      </w:pPr>
      <w:r>
        <w:t xml:space="preserve">Obtain an explanation of the logic behind automated decisions</w:t>
      </w:r>
    </w:p>
    <w:p>
      <w:pPr>
        <w:pStyle w:val="MdSpace"/>
        <w:spacing w:before="0" w:after="60"/>
      </w:pPr>
    </w:p>
    <w:p>
      <w:pPr>
        <w:pStyle w:val="MdParagraph"/>
      </w:pPr>
      <w:r>
        <w:t xml:space="preserve">To exercise these rights, contact our Data Protection Officer.</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9. BUSINESS TRANSFORMATION AND DATA TRANSFERS</w:t>
      </w:r>
    </w:p>
    <w:p>
      <w:pPr>
        <w:pStyle w:val="Heading3"/>
        <w:pStyle w:val="MdHeading3"/>
      </w:pPr>
      <w:r>
        <w:t xml:space="preserve">9.1 Mergers and Acquisitions</w:t>
      </w:r>
    </w:p>
    <w:p>
      <w:pPr>
        <w:pStyle w:val="MdParagraph"/>
      </w:pPr>
      <w:r>
        <w:t xml:space="preserve">In the event that Fortune Sacco undergoes a business transformation, merger, acquisition, or restructuring, your personal data may be among the assets to be transferred to new platforms or entities. In such circumstances:</w:t>
      </w:r>
    </w:p>
    <w:p>
      <w:pPr>
        <w:pStyle w:val="MdSpace"/>
        <w:spacing w:before="0" w:after="60"/>
      </w:pPr>
    </w:p>
    <w:p>
      <w:pPr>
        <w:pStyle w:val="MdListItem"/>
        <w:numPr>
          <w:ilvl w:val="0"/>
          <w:numId w:val="2"/>
        </w:numPr>
      </w:pPr>
      <w:r>
        <w:t xml:space="preserve">The acquirer of data assets may continue to process your personal data</w:t>
      </w:r>
    </w:p>
    <w:p>
      <w:pPr>
        <w:pStyle w:val="MdListItem"/>
        <w:numPr>
          <w:ilvl w:val="0"/>
          <w:numId w:val="2"/>
        </w:numPr>
      </w:pPr>
      <w:r>
        <w:t xml:space="preserve">We will notify you of any material change in data handling practices</w:t>
      </w:r>
    </w:p>
    <w:p>
      <w:pPr>
        <w:pStyle w:val="MdListItem"/>
        <w:numPr>
          <w:ilvl w:val="0"/>
          <w:numId w:val="2"/>
        </w:numPr>
      </w:pPr>
      <w:r>
        <w:t xml:space="preserve">Your rights will continue to be protected under applicable data protection laws</w:t>
      </w:r>
    </w:p>
    <w:p>
      <w:pPr>
        <w:pStyle w:val="MdListItem"/>
        <w:numPr>
          <w:ilvl w:val="0"/>
          <w:numId w:val="2"/>
        </w:numPr>
      </w:pPr>
      <w:r>
        <w:t xml:space="preserve">Data Processing Agreements will be updated to reflect the new arrangement</w:t>
      </w:r>
    </w:p>
    <w:p>
      <w:pPr>
        <w:pStyle w:val="MdSpace"/>
        <w:spacing w:before="0" w:after="60"/>
      </w:pPr>
    </w:p>
    <w:p>
      <w:pPr>
        <w:pStyle w:val="Heading3"/>
        <w:pStyle w:val="MdHeading3"/>
      </w:pPr>
      <w:r>
        <w:t xml:space="preserve">9.2 Data Protection Impact Assessment</w:t>
      </w:r>
    </w:p>
    <w:p>
      <w:pPr>
        <w:pStyle w:val="MdParagraph"/>
      </w:pPr>
      <w:r>
        <w:t xml:space="preserve">For any business transformation involving personal data, Fortune Sacco will conduct a Data Protection Impact Assessment (DPIA) to:</w:t>
      </w:r>
    </w:p>
    <w:p>
      <w:pPr>
        <w:pStyle w:val="MdSpace"/>
        <w:spacing w:before="0" w:after="60"/>
      </w:pPr>
    </w:p>
    <w:p>
      <w:pPr>
        <w:pStyle w:val="MdListItem"/>
        <w:numPr>
          <w:ilvl w:val="0"/>
          <w:numId w:val="2"/>
        </w:numPr>
      </w:pPr>
      <w:r>
        <w:t xml:space="preserve">Identify the level of risk that may occur</w:t>
      </w:r>
    </w:p>
    <w:p>
      <w:pPr>
        <w:pStyle w:val="MdListItem"/>
        <w:numPr>
          <w:ilvl w:val="0"/>
          <w:numId w:val="2"/>
        </w:numPr>
      </w:pPr>
      <w:r>
        <w:t xml:space="preserve">Implement appropriate safeguards</w:t>
      </w:r>
    </w:p>
    <w:p>
      <w:pPr>
        <w:pStyle w:val="MdListItem"/>
        <w:numPr>
          <w:ilvl w:val="0"/>
          <w:numId w:val="2"/>
        </w:numPr>
      </w:pPr>
      <w:r>
        <w:t xml:space="preserve">Mitigate identified risks</w:t>
      </w:r>
    </w:p>
    <w:p>
      <w:pPr>
        <w:pStyle w:val="MdListItem"/>
        <w:numPr>
          <w:ilvl w:val="0"/>
          <w:numId w:val="2"/>
        </w:numPr>
      </w:pPr>
      <w:r>
        <w:t xml:space="preserve">Ensure continuity of data protection obligations</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10. CONTACT INFORMATION</w:t>
      </w:r>
    </w:p>
    <w:p>
      <w:pPr>
        <w:pStyle w:val="Heading3"/>
        <w:pStyle w:val="MdHeading3"/>
      </w:pPr>
      <w:r>
        <w:t xml:space="preserve">10.1 Data Protection Officer</w:t>
      </w:r>
    </w:p>
    <w:p>
      <w:pPr>
        <w:pStyle w:val="MdParagraph"/>
      </w:pPr>
      <w:r>
        <w:t xml:space="preserve">If you have any questions, concerns, or wish to exercise your data subject rights, please contact our Data Protection Officer at:</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Detail</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Information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Name</w:t>
            </w:r>
          </w:p>
        </w:tc>
        <w:tc>
          <w:tcPr>
            <w:tcBorders>
              <w:right w:val="none"/>
            </w:tcBorders>
            <w:tcMar>
              <w:top w:type="dxa" w:w="80"/>
              <w:left w:type="dxa" w:w="120"/>
              <w:bottom w:type="dxa" w:w="80"/>
              <w:right w:type="dxa" w:w="120"/>
            </w:tcMar>
            <w:vAlign w:val="center"/>
          </w:tcPr>
          <w:p>
            <w:pPr>
              <w:pStyle w:val="MdTableCell"/>
            </w:pPr>
            <w:r>
              <w:t xml:space="preserve">Rodney Chege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Designation</w:t>
            </w:r>
          </w:p>
        </w:tc>
        <w:tc>
          <w:tcPr>
            <w:tcBorders>
              <w:right w:val="none"/>
            </w:tcBorders>
            <w:tcMar>
              <w:top w:type="dxa" w:w="80"/>
              <w:left w:type="dxa" w:w="120"/>
              <w:bottom w:type="dxa" w:w="80"/>
              <w:right w:type="dxa" w:w="120"/>
            </w:tcMar>
            <w:vAlign w:val="center"/>
          </w:tcPr>
          <w:p>
            <w:pPr>
              <w:pStyle w:val="MdTableCell"/>
            </w:pPr>
            <w:r>
              <w:t xml:space="preserve">Data Protection Officer</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Organization</w:t>
            </w:r>
          </w:p>
        </w:tc>
        <w:tc>
          <w:tcPr>
            <w:tcBorders>
              <w:right w:val="none"/>
            </w:tcBorders>
            <w:tcMar>
              <w:top w:type="dxa" w:w="80"/>
              <w:left w:type="dxa" w:w="120"/>
              <w:bottom w:type="dxa" w:w="80"/>
              <w:right w:type="dxa" w:w="120"/>
            </w:tcMar>
            <w:vAlign w:val="center"/>
          </w:tcPr>
          <w:p>
            <w:pPr>
              <w:pStyle w:val="MdTableCell"/>
            </w:pPr>
            <w:r>
              <w:t xml:space="preserve">Fortune DT Sacco Society Ltd</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Email</w:t>
            </w:r>
          </w:p>
        </w:tc>
        <w:tc>
          <w:tcPr>
            <w:tcBorders>
              <w:right w:val="none"/>
            </w:tcBorders>
            <w:tcMar>
              <w:top w:type="dxa" w:w="80"/>
              <w:left w:type="dxa" w:w="120"/>
              <w:bottom w:type="dxa" w:w="80"/>
              <w:right w:type="dxa" w:w="120"/>
            </w:tcMar>
            <w:vAlign w:val="center"/>
          </w:tcPr>
          <w:p>
            <w:pPr>
              <w:pStyle w:val="MdTableCell"/>
            </w:pPr>
            <w:hyperlink w:history="1" r:id="rIddztweilgzmwflfbryanys">
              <w:r>
                <w:rPr>
                  <w:rStyle w:val="MdLink"/>
                </w:rPr>
                <w:t xml:space="preserve">DPO@fortune.co.ke</w:t>
              </w:r>
            </w:hyperlink>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Telephone</w:t>
            </w:r>
          </w:p>
        </w:tc>
        <w:tc>
          <w:tcPr>
            <w:tcBorders>
              <w:right w:val="none"/>
            </w:tcBorders>
            <w:tcMar>
              <w:top w:type="dxa" w:w="80"/>
              <w:left w:type="dxa" w:w="120"/>
              <w:bottom w:type="dxa" w:w="80"/>
              <w:right w:type="dxa" w:w="120"/>
            </w:tcMar>
            <w:vAlign w:val="center"/>
          </w:tcPr>
          <w:p>
            <w:pPr>
              <w:pStyle w:val="MdTableCell"/>
            </w:pPr>
            <w:r>
              <w:t xml:space="preserve">011054300</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Response Time</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Within 30 calendar days</w:t>
            </w:r>
          </w:p>
        </w:tc>
      </w:tr>
    </w:tbl>
    <w:p>
      <w:pPr>
        <w:pStyle w:val="Heading3"/>
        <w:pStyle w:val="MdHeading3"/>
      </w:pPr>
      <w:r>
        <w:t xml:space="preserve">10.2 Regulatory Authorities</w:t>
      </w:r>
    </w:p>
    <w:p>
      <w:pPr>
        <w:pStyle w:val="MdParagraph"/>
      </w:pPr>
      <w:r>
        <w:t xml:space="preserve">If you wish to lodge a complaint or report a data protection concern, you may contact:</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rPr>
                <w:rStyle w:val="MdStrong"/>
                <w:b/>
                <w:bCs/>
              </w:rPr>
              <w:t xml:space="preserve">Authority</w:t>
            </w:r>
          </w:p>
        </w:tc>
        <w:tc>
          <w:tcPr>
            <w:tcBorders>
              <w:right w:val="none"/>
            </w:tcBorders>
            <w:tcMar>
              <w:top w:type="dxa" w:w="100"/>
              <w:left w:type="dxa" w:w="120"/>
              <w:bottom w:type="dxa" w:w="100"/>
              <w:right w:type="dxa" w:w="120"/>
            </w:tcMar>
            <w:vAlign w:val="center"/>
          </w:tcPr>
          <w:p>
            <w:pPr>
              <w:pStyle w:val="MdTableHeader"/>
            </w:pPr>
            <w:r>
              <w:rPr>
                <w:rStyle w:val="MdStrong"/>
                <w:b/>
                <w:bCs/>
              </w:rPr>
              <w:t xml:space="preserve">Contact Details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Office of the Data Protection Commissioner (ODPC)</w:t>
            </w:r>
          </w:p>
        </w:tc>
        <w:tc>
          <w:tcPr>
            <w:tcBorders>
              <w:right w:val="none"/>
            </w:tcBorders>
            <w:tcMar>
              <w:top w:type="dxa" w:w="80"/>
              <w:left w:type="dxa" w:w="120"/>
              <w:bottom w:type="dxa" w:w="80"/>
              <w:right w:type="dxa" w:w="120"/>
            </w:tcMar>
            <w:vAlign w:val="center"/>
          </w:tcPr>
          <w:p>
            <w:pPr>
              <w:pStyle w:val="MdTableCell"/>
            </w:pPr>
            <w:r>
              <w:t xml:space="preserve">Website: </w:t>
            </w:r>
            <w:hyperlink w:history="1" r:id="rIdfg6ovw1olmv85fvprxce7">
              <w:r>
                <w:rPr>
                  <w:rStyle w:val="MdLink"/>
                </w:rPr>
                <w:t xml:space="preserve">www.odpc.go.ke</w:t>
              </w:r>
            </w:hyperlink>
            <w:r>
              <w:rPr>
                <w:rStyle w:val="MdTag"/>
              </w:rPr>
              <w:t xml:space="preserve">&lt;br&gt;</w:t>
            </w:r>
            <w:r>
              <w:t xml:space="preserve">Email: </w:t>
            </w:r>
            <w:hyperlink w:history="1" r:id="rId4gy3ajdfhm4ozt9s2dam1">
              <w:r>
                <w:rPr>
                  <w:rStyle w:val="MdLink"/>
                </w:rPr>
                <w:t xml:space="preserve">complaints@odpc.go.ke</w:t>
              </w:r>
            </w:hyperlink>
            <w:r>
              <w:rPr>
                <w:rStyle w:val="MdTag"/>
              </w:rPr>
              <w:t xml:space="preserve">&lt;br&gt;</w:t>
            </w:r>
            <w:r>
              <w:t xml:space="preserve">Telephone: +254 (0) 20 2720 000</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rPr>
                <w:rStyle w:val="MdStrong"/>
                <w:b/>
                <w:bCs/>
              </w:rPr>
              <w:t xml:space="preserve">Sacco Societies Regulatory Authority (SASRA)</w:t>
            </w:r>
          </w:p>
        </w:tc>
        <w:tc>
          <w:tcPr>
            <w:tcBorders>
              <w:right w:val="none"/>
            </w:tcBorders>
            <w:tcMar>
              <w:top w:type="dxa" w:w="80"/>
              <w:left w:type="dxa" w:w="120"/>
              <w:bottom w:type="dxa" w:w="80"/>
              <w:right w:type="dxa" w:w="120"/>
            </w:tcMar>
            <w:vAlign w:val="center"/>
          </w:tcPr>
          <w:p>
            <w:pPr>
              <w:pStyle w:val="MdTableCell"/>
            </w:pPr>
            <w:r>
              <w:t xml:space="preserve">Website: </w:t>
            </w:r>
            <w:hyperlink w:history="1" r:id="rIdzaxy_fglofergjhknvi5a">
              <w:r>
                <w:rPr>
                  <w:rStyle w:val="MdLink"/>
                </w:rPr>
                <w:t xml:space="preserve">www.sasra.go.ke</w:t>
              </w:r>
            </w:hyperlink>
            <w:r>
              <w:rPr>
                <w:rStyle w:val="MdTag"/>
              </w:rPr>
              <w:t xml:space="preserve">&lt;br&gt;</w:t>
            </w:r>
            <w:r>
              <w:t xml:space="preserve">Email: </w:t>
            </w:r>
            <w:hyperlink w:history="1" r:id="rIdehardxhlajc4rtlvquhzu">
              <w:r>
                <w:rPr>
                  <w:rStyle w:val="MdLink"/>
                </w:rPr>
                <w:t xml:space="preserve">info@sasra.go.ke</w:t>
              </w:r>
            </w:hyperlink>
            <w:r>
              <w:rPr>
                <w:rStyle w:val="MdTag"/>
              </w:rPr>
              <w:t xml:space="preserve">&lt;br&gt;</w:t>
            </w:r>
            <w:r>
              <w:t xml:space="preserve">Telephone: +254 (0) 20 2710 000</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Central Bank of Kenya (CBK)</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Website: </w:t>
            </w:r>
            <w:hyperlink w:history="1" r:id="rIda2uqpkdvjm-taebtnta0s">
              <w:r>
                <w:rPr>
                  <w:rStyle w:val="MdLink"/>
                </w:rPr>
                <w:t xml:space="preserve">www.centralbank.go.ke</w:t>
              </w:r>
            </w:hyperlink>
            <w:r>
              <w:rPr>
                <w:rStyle w:val="MdTag"/>
              </w:rPr>
              <w:t xml:space="preserve">&lt;br&gt;</w:t>
            </w:r>
            <w:r>
              <w:t xml:space="preserve">Telephone: +254 (0) 20 3863 000</w:t>
            </w:r>
          </w:p>
        </w:tc>
      </w:tr>
    </w:tbl>
    <w:p>
      <w:pPr>
        <w:pStyle w:val="MdHr"/>
        <w:pBdr>
          <w:bottom w:val="single" w:color="auto" w:sz="6" w:space="1"/>
        </w:pBdr>
      </w:pPr>
    </w:p>
    <w:p>
      <w:pPr>
        <w:pStyle w:val="MdSpace"/>
        <w:spacing w:before="0" w:after="60"/>
      </w:pPr>
    </w:p>
    <w:p>
      <w:pPr>
        <w:pStyle w:val="Heading2"/>
        <w:pStyle w:val="MdHeading2"/>
      </w:pPr>
      <w:r>
        <w:t xml:space="preserve">11. CHANGES TO THIS PRIVACY POLICY</w:t>
      </w:r>
    </w:p>
    <w:p>
      <w:pPr>
        <w:pStyle w:val="MdParagraph"/>
      </w:pPr>
      <w:r>
        <w:t xml:space="preserve">Fortune Sacco reserves the right to update this Privacy Policy periodically to reflect changes in our practices, technology, legal requirements, or regulatory guidance. We will notify you of any material changes by:</w:t>
      </w:r>
    </w:p>
    <w:p>
      <w:pPr>
        <w:pStyle w:val="MdSpace"/>
        <w:spacing w:before="0" w:after="60"/>
      </w:pPr>
    </w:p>
    <w:p>
      <w:pPr>
        <w:pStyle w:val="MdListItem"/>
        <w:numPr>
          <w:ilvl w:val="0"/>
          <w:numId w:val="2"/>
        </w:numPr>
      </w:pPr>
      <w:r>
        <w:t xml:space="preserve">Posting the updated policy on our website</w:t>
      </w:r>
    </w:p>
    <w:p>
      <w:pPr>
        <w:pStyle w:val="MdListItem"/>
        <w:numPr>
          <w:ilvl w:val="0"/>
          <w:numId w:val="2"/>
        </w:numPr>
      </w:pPr>
      <w:r>
        <w:t xml:space="preserve">Sending a notification email to your registered email address</w:t>
      </w:r>
    </w:p>
    <w:p>
      <w:pPr>
        <w:pStyle w:val="MdListItem"/>
        <w:numPr>
          <w:ilvl w:val="0"/>
          <w:numId w:val="2"/>
        </w:numPr>
      </w:pPr>
      <w:r>
        <w:t xml:space="preserve">Displaying a prominent notice on our digital platforms</w:t>
      </w:r>
    </w:p>
    <w:p>
      <w:pPr>
        <w:pStyle w:val="MdListItem"/>
        <w:numPr>
          <w:ilvl w:val="0"/>
          <w:numId w:val="2"/>
        </w:numPr>
      </w:pPr>
      <w:r>
        <w:t xml:space="preserve">Requiring your acceptance of the updated policy</w:t>
      </w:r>
    </w:p>
    <w:p>
      <w:pPr>
        <w:pStyle w:val="MdSpace"/>
        <w:spacing w:before="0" w:after="60"/>
      </w:pPr>
    </w:p>
    <w:p>
      <w:pPr>
        <w:pStyle w:val="MdParagraph"/>
      </w:pPr>
      <w:r>
        <w:t xml:space="preserve">Your continued use of Fortune Sacco's services after such changes constitutes your acceptance of the updated Privacy Policy.</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12. ACKNOWLEDGMENT AND CONSENT</w:t>
      </w:r>
    </w:p>
    <w:p>
      <w:pPr>
        <w:pStyle w:val="MdParagraph"/>
      </w:pPr>
      <w:r>
        <w:t xml:space="preserve">By accessing Fortune Sacco's website, digital platforms, or services, you confirm that you have read, understood, and agree to the provisions of this Privacy Policy. You acknowledge that:</w:t>
      </w:r>
    </w:p>
    <w:p>
      <w:pPr>
        <w:pStyle w:val="MdSpace"/>
        <w:spacing w:before="0" w:after="60"/>
      </w:pPr>
    </w:p>
    <w:p>
      <w:pPr>
        <w:pStyle w:val="MdListItem"/>
        <w:numPr>
          <w:ilvl w:val="0"/>
          <w:numId w:val="2"/>
        </w:numPr>
      </w:pPr>
      <w:r>
        <w:t xml:space="preserve">You understand how your personal data is collected and processed</w:t>
      </w:r>
    </w:p>
    <w:p>
      <w:pPr>
        <w:pStyle w:val="MdListItem"/>
        <w:numPr>
          <w:ilvl w:val="0"/>
          <w:numId w:val="2"/>
        </w:numPr>
      </w:pPr>
      <w:r>
        <w:t xml:space="preserve">You consent to the processing of your personal data as described</w:t>
      </w:r>
    </w:p>
    <w:p>
      <w:pPr>
        <w:pStyle w:val="MdListItem"/>
        <w:numPr>
          <w:ilvl w:val="0"/>
          <w:numId w:val="2"/>
        </w:numPr>
      </w:pPr>
      <w:r>
        <w:t xml:space="preserve">You have the right to withdraw consent for non-essential processing</w:t>
      </w:r>
    </w:p>
    <w:p>
      <w:pPr>
        <w:pStyle w:val="MdListItem"/>
        <w:numPr>
          <w:ilvl w:val="0"/>
          <w:numId w:val="2"/>
        </w:numPr>
      </w:pPr>
      <w:r>
        <w:t xml:space="preserve">You understand your data subject rights and how to exercise them</w:t>
      </w:r>
    </w:p>
    <w:p>
      <w:pPr>
        <w:pStyle w:val="MdListItem"/>
        <w:numPr>
          <w:ilvl w:val="0"/>
          <w:numId w:val="2"/>
        </w:numPr>
      </w:pPr>
      <w:r>
        <w:t xml:space="preserve">You accept responsibility for protecting your account credentials</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13. COMPLIANCE FRAMEWORK</w:t>
      </w:r>
    </w:p>
    <w:p>
      <w:pPr>
        <w:pStyle w:val="MdParagraph"/>
      </w:pPr>
      <w:r>
        <w:t xml:space="preserve">Fortune Sacco's privacy practices are designed to comply with:</w:t>
      </w:r>
    </w:p>
    <w:p>
      <w:pPr>
        <w:pStyle w:val="MdSpace"/>
        <w:spacing w:before="0" w:after="60"/>
      </w:pPr>
    </w:p>
    <w:p>
      <w:pPr>
        <w:pStyle w:val="MdListItem"/>
        <w:numPr>
          <w:ilvl w:val="0"/>
          <w:numId w:val="2"/>
        </w:numPr>
      </w:pPr>
      <w:r>
        <w:rPr>
          <w:rStyle w:val="MdStrong"/>
          <w:b/>
          <w:bCs/>
        </w:rPr>
        <w:t xml:space="preserve">Kenya Data Protection Act, 2019:</w:t>
      </w:r>
      <w:r>
        <w:t xml:space="preserve"> The primary data protection legislation in Kenya</w:t>
      </w:r>
    </w:p>
    <w:p>
      <w:pPr>
        <w:pStyle w:val="MdListItem"/>
        <w:numPr>
          <w:ilvl w:val="0"/>
          <w:numId w:val="2"/>
        </w:numPr>
      </w:pPr>
      <w:r>
        <w:rPr>
          <w:rStyle w:val="MdStrong"/>
          <w:b/>
          <w:bCs/>
        </w:rPr>
        <w:t xml:space="preserve">Data Protection (General) Regulations, 2021:</w:t>
      </w:r>
      <w:r>
        <w:t xml:space="preserve"> Detailed regulations on data protection implementation</w:t>
      </w:r>
    </w:p>
    <w:p>
      <w:pPr>
        <w:pStyle w:val="MdListItem"/>
        <w:numPr>
          <w:ilvl w:val="0"/>
          <w:numId w:val="2"/>
        </w:numPr>
      </w:pPr>
      <w:r>
        <w:rPr>
          <w:rStyle w:val="MdStrong"/>
          <w:b/>
          <w:bCs/>
        </w:rPr>
        <w:t xml:space="preserve">Data Protection (Registration of Data Controllers and Processors) Regulations, 2021:</w:t>
      </w:r>
      <w:r>
        <w:t xml:space="preserve"> Requirements for registering data controllers and processors</w:t>
      </w:r>
    </w:p>
    <w:p>
      <w:pPr>
        <w:pStyle w:val="MdListItem"/>
        <w:numPr>
          <w:ilvl w:val="0"/>
          <w:numId w:val="2"/>
        </w:numPr>
      </w:pPr>
      <w:r>
        <w:rPr>
          <w:rStyle w:val="MdStrong"/>
          <w:b/>
          <w:bCs/>
        </w:rPr>
        <w:t xml:space="preserve">Sacco Societies Act, 2008:</w:t>
      </w:r>
      <w:r>
        <w:t xml:space="preserve"> The regulatory framework for SACCOs in Kenya</w:t>
      </w:r>
    </w:p>
    <w:p>
      <w:pPr>
        <w:pStyle w:val="MdListItem"/>
        <w:numPr>
          <w:ilvl w:val="0"/>
          <w:numId w:val="2"/>
        </w:numPr>
      </w:pPr>
      <w:r>
        <w:rPr>
          <w:rStyle w:val="MdStrong"/>
          <w:b/>
          <w:bCs/>
        </w:rPr>
        <w:t xml:space="preserve">SASRA Regulations and Guidelines:</w:t>
      </w:r>
      <w:r>
        <w:t xml:space="preserve"> Prudential and operational guidelines for SACCOs</w:t>
      </w:r>
    </w:p>
    <w:p>
      <w:pPr>
        <w:pStyle w:val="MdListItem"/>
        <w:numPr>
          <w:ilvl w:val="0"/>
          <w:numId w:val="2"/>
        </w:numPr>
      </w:pPr>
      <w:r>
        <w:rPr>
          <w:rStyle w:val="MdStrong"/>
          <w:b/>
          <w:bCs/>
        </w:rPr>
        <w:t xml:space="preserve">Computer Misuse and Cybercrimes Act, 2018:</w:t>
      </w:r>
      <w:r>
        <w:t xml:space="preserve"> Cybersecurity and data breach notification requirements</w:t>
      </w:r>
    </w:p>
    <w:p>
      <w:pPr>
        <w:pStyle w:val="MdListItem"/>
        <w:numPr>
          <w:ilvl w:val="0"/>
          <w:numId w:val="2"/>
        </w:numPr>
      </w:pPr>
      <w:r>
        <w:rPr>
          <w:rStyle w:val="MdStrong"/>
          <w:b/>
          <w:bCs/>
        </w:rPr>
        <w:t xml:space="preserve">National ICT and Cybersecurity Frameworks:</w:t>
      </w:r>
      <w:r>
        <w:t xml:space="preserve"> Government guidance on ICT security</w:t>
      </w:r>
    </w:p>
    <w:p>
      <w:pPr>
        <w:pStyle w:val="MdListItem"/>
        <w:numPr>
          <w:ilvl w:val="0"/>
          <w:numId w:val="2"/>
        </w:numPr>
      </w:pPr>
      <w:r>
        <w:rPr>
          <w:rStyle w:val="MdStrong"/>
          <w:b/>
          <w:bCs/>
        </w:rPr>
        <w:t xml:space="preserve">Anti-Money Laundering (AML) and Know Your Customer (KYC) Requirements:</w:t>
      </w:r>
      <w:r>
        <w:t xml:space="preserve"> Financial crime prevention obligations</w:t>
      </w:r>
    </w:p>
    <w:p>
      <w:pPr>
        <w:pStyle w:val="MdListItem"/>
        <w:numPr>
          <w:ilvl w:val="0"/>
          <w:numId w:val="2"/>
        </w:numPr>
      </w:pPr>
      <w:r>
        <w:rPr>
          <w:rStyle w:val="MdStrong"/>
          <w:b/>
          <w:bCs/>
        </w:rPr>
        <w:t xml:space="preserve">ISO 27001 Information Security Best Practices:</w:t>
      </w:r>
      <w:r>
        <w:t xml:space="preserve"> International standards for information security management</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14. DEFINITIONS SUMMARY</w:t>
      </w:r>
    </w:p>
    <w:p>
      <w:pPr>
        <w:pStyle w:val="MdParagraph"/>
      </w:pPr>
      <w:r>
        <w:t xml:space="preserve">For quick reference, key terms used in this Privacy Policy are defined as follows:</w:t>
      </w:r>
    </w:p>
    <w:p>
      <w:pPr>
        <w:pStyle w:val="MdSpace"/>
        <w:spacing w:before="0" w:after="60"/>
      </w:pPr>
    </w:p>
    <w:p>
      <w:pPr>
        <w:pStyle w:val="MdListItem"/>
        <w:numPr>
          <w:ilvl w:val="0"/>
          <w:numId w:val="2"/>
        </w:numPr>
      </w:pPr>
      <w:r>
        <w:rPr>
          <w:rStyle w:val="MdStrong"/>
          <w:b/>
          <w:bCs/>
        </w:rPr>
        <w:t xml:space="preserve">Personal Data:</w:t>
      </w:r>
      <w:r>
        <w:t xml:space="preserve"> Information that identifies you directly or indirectly</w:t>
      </w:r>
    </w:p>
    <w:p>
      <w:pPr>
        <w:pStyle w:val="MdListItem"/>
        <w:numPr>
          <w:ilvl w:val="0"/>
          <w:numId w:val="2"/>
        </w:numPr>
      </w:pPr>
      <w:r>
        <w:rPr>
          <w:rStyle w:val="MdStrong"/>
          <w:b/>
          <w:bCs/>
        </w:rPr>
        <w:t xml:space="preserve">Processing:</w:t>
      </w:r>
      <w:r>
        <w:t xml:space="preserve"> Any operation performed on personal data (collection, storage, use, disclosure, deletion)</w:t>
      </w:r>
    </w:p>
    <w:p>
      <w:pPr>
        <w:pStyle w:val="MdListItem"/>
        <w:numPr>
          <w:ilvl w:val="0"/>
          <w:numId w:val="2"/>
        </w:numPr>
      </w:pPr>
      <w:r>
        <w:rPr>
          <w:rStyle w:val="MdStrong"/>
          <w:b/>
          <w:bCs/>
        </w:rPr>
        <w:t xml:space="preserve">Data Controller:</w:t>
      </w:r>
      <w:r>
        <w:t xml:space="preserve"> Fortune Sacco (the entity determining how data is processed)</w:t>
      </w:r>
    </w:p>
    <w:p>
      <w:pPr>
        <w:pStyle w:val="MdListItem"/>
        <w:numPr>
          <w:ilvl w:val="0"/>
          <w:numId w:val="2"/>
        </w:numPr>
      </w:pPr>
      <w:r>
        <w:rPr>
          <w:rStyle w:val="MdStrong"/>
          <w:b/>
          <w:bCs/>
        </w:rPr>
        <w:t xml:space="preserve">Data Processor:</w:t>
      </w:r>
      <w:r>
        <w:t xml:space="preserve"> Third parties processing data on behalf of Fortune Sacco</w:t>
      </w:r>
    </w:p>
    <w:p>
      <w:pPr>
        <w:pStyle w:val="MdListItem"/>
        <w:numPr>
          <w:ilvl w:val="0"/>
          <w:numId w:val="2"/>
        </w:numPr>
      </w:pPr>
      <w:r>
        <w:rPr>
          <w:rStyle w:val="MdStrong"/>
          <w:b/>
          <w:bCs/>
        </w:rPr>
        <w:t xml:space="preserve">Data Subject:</w:t>
      </w:r>
      <w:r>
        <w:t xml:space="preserve"> You (the individual whose data is being processed)</w:t>
      </w:r>
    </w:p>
    <w:p>
      <w:pPr>
        <w:pStyle w:val="MdListItem"/>
        <w:numPr>
          <w:ilvl w:val="0"/>
          <w:numId w:val="2"/>
        </w:numPr>
      </w:pPr>
      <w:r>
        <w:rPr>
          <w:rStyle w:val="MdStrong"/>
          <w:b/>
          <w:bCs/>
        </w:rPr>
        <w:t xml:space="preserve">Sensitive Personal Data:</w:t>
      </w:r>
      <w:r>
        <w:t xml:space="preserve"> Data revealing racial origin, health, biometric data, etc.</w:t>
      </w:r>
    </w:p>
    <w:p>
      <w:pPr>
        <w:pStyle w:val="MdListItem"/>
        <w:numPr>
          <w:ilvl w:val="0"/>
          <w:numId w:val="2"/>
        </w:numPr>
      </w:pPr>
      <w:r>
        <w:rPr>
          <w:rStyle w:val="MdStrong"/>
          <w:b/>
          <w:bCs/>
        </w:rPr>
        <w:t xml:space="preserve">Data Breach:</w:t>
      </w:r>
      <w:r>
        <w:t xml:space="preserve"> Unauthorized access, loss, or destruction of personal data</w:t>
      </w:r>
    </w:p>
    <w:p>
      <w:pPr>
        <w:pStyle w:val="MdListItem"/>
        <w:numPr>
          <w:ilvl w:val="0"/>
          <w:numId w:val="2"/>
        </w:numPr>
      </w:pPr>
      <w:r>
        <w:rPr>
          <w:rStyle w:val="MdStrong"/>
          <w:b/>
          <w:bCs/>
        </w:rPr>
        <w:t xml:space="preserve">Data Protection Impact Assessment (DPIA):</w:t>
      </w:r>
      <w:r>
        <w:t xml:space="preserve"> Risk assessment for high-risk processing activities</w:t>
      </w:r>
    </w:p>
    <w:p>
      <w:pPr>
        <w:pStyle w:val="MdSpace"/>
        <w:spacing w:before="0" w:after="60"/>
      </w:pPr>
    </w:p>
    <w:p>
      <w:pPr>
        <w:pStyle w:val="MdHr"/>
        <w:pBdr>
          <w:bottom w:val="single" w:color="auto" w:sz="6" w:space="1"/>
        </w:pBdr>
      </w:pPr>
    </w:p>
    <w:p>
      <w:pPr>
        <w:pStyle w:val="MdSpace"/>
        <w:spacing w:before="0" w:after="60"/>
      </w:pPr>
    </w:p>
    <w:p>
      <w:pPr>
        <w:pStyle w:val="MdParagraph"/>
      </w:pPr>
      <w:r>
        <w:rPr>
          <w:rStyle w:val="MdStrong"/>
          <w:b/>
          <w:bCs/>
        </w:rPr>
        <w:t xml:space="preserve">Last Updated:</w:t>
      </w:r>
      <w:r>
        <w:t xml:space="preserve"> June 15, 2026</w:t>
      </w:r>
    </w:p>
    <w:p>
      <w:pPr>
        <w:pStyle w:val="MdSpace"/>
        <w:spacing w:before="0" w:after="60"/>
      </w:pPr>
    </w:p>
    <w:p>
      <w:pPr>
        <w:pStyle w:val="MdParagraph"/>
      </w:pPr>
      <w:r>
        <w:rPr>
          <w:rStyle w:val="MdStrong"/>
          <w:b/>
          <w:bCs/>
        </w:rPr>
        <w:t xml:space="preserve">Next Review Date:</w:t>
      </w:r>
      <w:r>
        <w:t xml:space="preserve"> June 15, 2027</w:t>
      </w:r>
    </w:p>
    <w:p>
      <w:pPr>
        <w:pStyle w:val="MdSpace"/>
        <w:spacing w:before="0" w:after="60"/>
      </w:pPr>
    </w:p>
    <w:p>
      <w:pPr>
        <w:pStyle w:val="MdHr"/>
        <w:pBdr>
          <w:bottom w:val="single" w:color="auto" w:sz="6" w:space="1"/>
        </w:pBdr>
      </w:pPr>
    </w:p>
    <w:p>
      <w:pPr>
        <w:pStyle w:val="MdSpace"/>
        <w:spacing w:before="0" w:after="60"/>
      </w:pPr>
    </w:p>
    <w:p>
      <w:pPr>
        <w:pStyle w:val="MdParagraph"/>
      </w:pPr>
      <w:r>
        <w:rPr>
          <w:rStyle w:val="MdEm"/>
          <w:i/>
          <w:iCs/>
        </w:rPr>
        <w:t xml:space="preserve">This Privacy Policy is the property of Fortune DT Sacco Society Ltd and is provided for informational purposes. All rights reserved.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440" w:hanging="360"/>
      </w:pPr>
    </w:lvl>
    <w:lvl w:ilvl="2" w15:tentative="1">
      <w:start w:val="1"/>
      <w:numFmt w:val="decimal"/>
      <w:lvlText w:val="%1.%2.%3"/>
      <w:lvlJc w:val="left"/>
      <w:pPr>
        <w:ind w:left="2160" w:hanging="360"/>
      </w:pPr>
    </w:lvl>
    <w:lvl w:ilvl="3" w15:tentative="1">
      <w:start w:val="1"/>
      <w:numFmt w:val="decimal"/>
      <w:lvlText w:val="%4)"/>
      <w:lvlJc w:val="left"/>
      <w:pPr>
        <w:ind w:left="2880" w:hanging="360"/>
      </w:pPr>
    </w:lvl>
    <w:lvl w:ilvl="4" w15:tentative="1">
      <w:start w:val="1"/>
      <w:numFmt w:val="decimal"/>
      <w:lvlText w:val="%5)"/>
      <w:lvlJc w:val="left"/>
      <w:pPr>
        <w:ind w:left="3600" w:hanging="360"/>
      </w:pPr>
    </w:lvl>
    <w:lvl w:ilvl="5" w15:tentative="1">
      <w:start w:val="1"/>
      <w:numFmt w:val="decimal"/>
      <w:lvlText w:val="%6)"/>
      <w:lvlJc w:val="left"/>
      <w:pPr>
        <w:ind w:left="4320" w:hanging="360"/>
      </w:pPr>
    </w:lvl>
    <w:lvl w:ilvl="6" w15:tentative="1">
      <w:start w:val="1"/>
      <w:numFmt w:val="decimal"/>
      <w:lvlText w:val="%7)"/>
      <w:lvlJc w:val="left"/>
      <w:pPr>
        <w:ind w:left="5040" w:hanging="360"/>
      </w:pPr>
    </w:lvl>
    <w:lvl w:ilvl="7" w15:tentative="1">
      <w:start w:val="1"/>
      <w:numFmt w:val="decimal"/>
      <w:lvlText w:val="%8)"/>
      <w:lvlJc w:val="left"/>
      <w:pPr>
        <w:ind w:left="5760" w:hanging="360"/>
      </w:pPr>
    </w:lvl>
    <w:lvl w:ilvl="8" w15:tentative="1">
      <w:start w:val="1"/>
      <w:numFmt w:val="decimal"/>
      <w:lvlText w:val="%9)"/>
      <w:lvlJc w:val="left"/>
      <w:pPr>
        <w:ind w:left="648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color="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dSpace">
    <w:name w:val="MdSpace"/>
    <w:basedOn w:val="Normal"/>
    <w:next w:val="Normal"/>
    <w:qFormat/>
    <w:pPr>
      <w:spacing w:before="0" w:after="0"/>
    </w:pPr>
    <w:rPr>
      <w:sz w:val="12"/>
      <w:szCs w:val="12"/>
    </w:rPr>
  </w:style>
  <w:style w:type="paragraph" w:styleId="MdCode">
    <w:name w:val="MdCode"/>
    <w:basedOn w:val="Normal"/>
    <w:next w:val="Normal"/>
    <w:qFormat/>
    <w:pPr>
      <w:pBdr>
        <w:top w:val="single" w:color="A5A5A5" w:sz="1" w:space="8"/>
        <w:bottom w:val="single" w:color="A5A5A5" w:sz="1" w:space="8"/>
        <w:left w:val="single" w:color="A5A5A5" w:sz="1" w:space="8"/>
        <w:right w:val="single" w:color="A5A5A5" w:sz="1" w:space="8"/>
      </w:pBdr>
      <w:spacing w:before="200" w:after="200"/>
    </w:pPr>
    <w:rPr>
      <w:rFonts w:ascii="Courier New" w:cs="Courier New" w:eastAsia="Courier New" w:hAnsi="Courier New"/>
      <w:color w:val="70AD47"/>
      <w:sz w:val="22"/>
      <w:szCs w:val="22"/>
    </w:rPr>
  </w:style>
  <w:style w:type="paragraph" w:styleId="MdHr">
    <w:name w:val="MdHr"/>
    <w:basedOn w:val="Normal"/>
    <w:next w:val="Normal"/>
    <w:qFormat/>
    <w:pPr>
      <w:pBdr>
        <w:bottom w:val="single" w:color="A5A5A5" w:sz="1" w:space="1"/>
      </w:pBdr>
      <w:spacing w:before="240" w:after="240"/>
    </w:pPr>
  </w:style>
  <w:style w:type="paragraph" w:styleId="MdBlockquote">
    <w:name w:val="MdBlockquote"/>
    <w:basedOn w:val="Normal"/>
    <w:next w:val="Normal"/>
    <w:qFormat/>
    <w:pPr>
      <w:pBdr>
        <w:left w:val="single" w:color="A5A5A5" w:sz="20" w:space="12"/>
      </w:pBdr>
      <w:spacing w:before="200" w:after="200"/>
      <w:ind w:left="360"/>
    </w:pPr>
    <w:rPr>
      <w:i/>
      <w:iCs/>
      <w:color w:val="666666"/>
    </w:rPr>
  </w:style>
  <w:style w:type="paragraph" w:styleId="MdHtml">
    <w:name w:val="MdHtml"/>
    <w:basedOn w:val="Normal"/>
    <w:next w:val="Normal"/>
    <w:qFormat/>
    <w:rPr>
      <w:rFonts w:ascii="Courier New" w:cs="Courier New" w:eastAsia="Courier New" w:hAnsi="Courier New"/>
      <w:color w:val="ED7D31"/>
    </w:rPr>
  </w:style>
  <w:style w:type="paragraph" w:styleId="MdDef">
    <w:name w:val="MdDef"/>
    <w:basedOn w:val="Normal"/>
    <w:next w:val="Normal"/>
    <w:qFormat/>
    <w:pPr>
      <w:ind w:left="720" w:hanging="360"/>
    </w:pPr>
  </w:style>
  <w:style w:type="paragraph" w:styleId="MdParagraph">
    <w:name w:val="MdParagraph"/>
    <w:basedOn w:val="Normal"/>
    <w:next w:val="Normal"/>
    <w:qFormat/>
    <w:pPr>
      <w:spacing w:before="120" w:after="120"/>
    </w:pPr>
  </w:style>
  <w:style w:type="paragraph" w:styleId="MdText">
    <w:name w:val="MdText"/>
    <w:basedOn w:val="Normal"/>
    <w:next w:val="Normal"/>
    <w:qFormat/>
  </w:style>
  <w:style w:type="paragraph" w:styleId="MdFootnote">
    <w:name w:val="MdFootnote"/>
    <w:basedOn w:val="Normal"/>
    <w:next w:val="Normal"/>
    <w:qFormat/>
    <w:rPr>
      <w:vertAlign w:val="superscript"/>
    </w:rPr>
  </w:style>
  <w:style w:type="paragraph" w:styleId="MdListItem">
    <w:name w:val="MdListItem"/>
    <w:basedOn w:val="Normal"/>
    <w:next w:val="Normal"/>
    <w:qFormat/>
    <w:pPr>
      <w:spacing w:before="60" w:after="60"/>
      <w:ind w:left="720" w:hanging="360"/>
    </w:pPr>
  </w:style>
  <w:style w:type="paragraph" w:styleId="MdTable">
    <w:name w:val="MdTable"/>
    <w:basedOn w:val="Normal"/>
    <w:next w:val="Normal"/>
    <w:qFormat/>
    <w:pPr>
      <w:spacing w:before="60" w:after="60"/>
    </w:pPr>
  </w:style>
  <w:style w:type="paragraph" w:styleId="MdTableHeader">
    <w:name w:val="MdTableHeader"/>
    <w:basedOn w:val="Normal"/>
    <w:next w:val="Normal"/>
    <w:qFormat/>
    <w:pPr>
      <w:spacing w:before="60" w:after="60"/>
    </w:pPr>
    <w:rPr>
      <w:b/>
      <w:bCs/>
      <w:sz w:val="22"/>
      <w:szCs w:val="22"/>
    </w:rPr>
  </w:style>
  <w:style w:type="paragraph" w:styleId="MdTableCell">
    <w:name w:val="MdTableCell"/>
    <w:basedOn w:val="Normal"/>
    <w:next w:val="Normal"/>
    <w:qFormat/>
    <w:pPr>
      <w:spacing w:before="40" w:after="40"/>
    </w:pPr>
    <w:rPr>
      <w:sz w:val="20"/>
      <w:szCs w:val="20"/>
    </w:rPr>
  </w:style>
  <w:style w:type="paragraph" w:styleId="MdHeading1">
    <w:name w:val="MdHeading1"/>
    <w:basedOn w:val="Normal"/>
    <w:next w:val="Normal"/>
    <w:qFormat/>
    <w:pPr>
      <w:keepNext/>
      <w:spacing w:before="480" w:after="240"/>
      <w:outlineLvl w:val="0"/>
    </w:pPr>
    <w:rPr>
      <w:b/>
      <w:bCs/>
      <w:sz w:val="36"/>
      <w:szCs w:val="36"/>
    </w:rPr>
  </w:style>
  <w:style w:type="paragraph" w:styleId="MdHeading2">
    <w:name w:val="MdHeading2"/>
    <w:basedOn w:val="Normal"/>
    <w:next w:val="Normal"/>
    <w:qFormat/>
    <w:pPr>
      <w:keepNext/>
      <w:spacing w:before="400" w:after="200"/>
      <w:outlineLvl w:val="1"/>
    </w:pPr>
    <w:rPr>
      <w:b/>
      <w:bCs/>
      <w:sz w:val="32"/>
      <w:szCs w:val="32"/>
    </w:rPr>
  </w:style>
  <w:style w:type="paragraph" w:styleId="MdHeading3">
    <w:name w:val="MdHeading3"/>
    <w:basedOn w:val="Normal"/>
    <w:next w:val="Normal"/>
    <w:qFormat/>
    <w:pPr>
      <w:keepNext/>
      <w:spacing w:before="320" w:after="160"/>
      <w:outlineLvl w:val="2"/>
    </w:pPr>
    <w:rPr>
      <w:b/>
      <w:bCs/>
      <w:sz w:val="28"/>
      <w:szCs w:val="28"/>
    </w:rPr>
  </w:style>
  <w:style w:type="paragraph" w:styleId="MdHeading4">
    <w:name w:val="MdHeading4"/>
    <w:basedOn w:val="Normal"/>
    <w:next w:val="Normal"/>
    <w:qFormat/>
    <w:pPr>
      <w:keepNext/>
      <w:spacing w:before="280" w:after="140"/>
      <w:outlineLvl w:val="3"/>
    </w:pPr>
    <w:rPr>
      <w:b/>
      <w:bCs/>
      <w:sz w:val="26"/>
      <w:szCs w:val="26"/>
    </w:rPr>
  </w:style>
  <w:style w:type="paragraph" w:styleId="MdHeading5">
    <w:name w:val="MdHeading5"/>
    <w:basedOn w:val="Normal"/>
    <w:next w:val="Normal"/>
    <w:qFormat/>
    <w:pPr>
      <w:keepNext/>
      <w:spacing w:before="240" w:after="120"/>
      <w:outlineLvl w:val="4"/>
    </w:pPr>
    <w:rPr>
      <w:b/>
      <w:bCs/>
      <w:i/>
      <w:iCs/>
      <w:sz w:val="24"/>
      <w:szCs w:val="24"/>
    </w:rPr>
  </w:style>
  <w:style w:type="paragraph" w:styleId="MdHeading6">
    <w:name w:val="MdHeading6"/>
    <w:basedOn w:val="Normal"/>
    <w:next w:val="Normal"/>
    <w:qFormat/>
    <w:pPr>
      <w:keepNext/>
      <w:spacing w:before="240" w:after="120"/>
      <w:outlineLvl w:val="5"/>
    </w:pPr>
    <w:rPr>
      <w:b w:val="false"/>
      <w:bCs w:val="false"/>
      <w:i/>
      <w:iCs/>
      <w:sz w:val="24"/>
      <w:szCs w:val="24"/>
    </w:rPr>
  </w:style>
  <w:style w:type="character" w:styleId="MdTag">
    <w:name w:val="MdTag"/>
    <w:basedOn w:val="Normal"/>
    <w:next w:val="Normal"/>
    <w:uiPriority w:val="99"/>
    <w:unhideWhenUsed/>
    <w:qFormat/>
    <w:rPr>
      <w:rFonts w:ascii="Courier New" w:cs="Courier New" w:eastAsia="Courier New" w:hAnsi="Courier New"/>
      <w:color w:val="ED7D31"/>
    </w:rPr>
  </w:style>
  <w:style w:type="character" w:styleId="MdLink">
    <w:name w:val="MdLink"/>
    <w:basedOn w:val="Normal"/>
    <w:next w:val="Normal"/>
    <w:uiPriority w:val="99"/>
    <w:unhideWhenUsed/>
    <w:qFormat/>
    <w:rPr>
      <w:color w:val="0563C1"/>
      <w:u w:val="single"/>
    </w:rPr>
  </w:style>
  <w:style w:type="character" w:styleId="MdStrong">
    <w:name w:val="MdStrong"/>
    <w:basedOn w:val="Normal"/>
    <w:next w:val="Normal"/>
    <w:uiPriority w:val="99"/>
    <w:unhideWhenUsed/>
    <w:qFormat/>
    <w:rPr>
      <w:b/>
      <w:bCs/>
    </w:rPr>
  </w:style>
  <w:style w:type="character" w:styleId="MdEm">
    <w:name w:val="MdEm"/>
    <w:basedOn w:val="Normal"/>
    <w:next w:val="Normal"/>
    <w:uiPriority w:val="99"/>
    <w:unhideWhenUsed/>
    <w:qFormat/>
    <w:rPr>
      <w:i/>
      <w:iCs/>
    </w:rPr>
  </w:style>
  <w:style w:type="character" w:styleId="MdCodespan">
    <w:name w:val="MdCodespan"/>
    <w:basedOn w:val="Normal"/>
    <w:next w:val="Normal"/>
    <w:uiPriority w:val="99"/>
    <w:unhideWhenUsed/>
    <w:qFormat/>
    <w:rPr>
      <w:rFonts w:ascii="Courier New" w:cs="Courier New" w:eastAsia="Courier New" w:hAnsi="Courier New"/>
      <w:color w:val="70AD47"/>
    </w:rPr>
  </w:style>
  <w:style w:type="character" w:styleId="MdDel">
    <w:name w:val="MdDel"/>
    <w:basedOn w:val="Normal"/>
    <w:next w:val="Normal"/>
    <w:uiPriority w:val="99"/>
    <w:unhideWhenUsed/>
    <w:qFormat/>
    <w:rPr>
      <w:strike/>
    </w:rPr>
  </w:style>
  <w:style w:type="character" w:styleId="MdBr">
    <w:name w:val="MdBr"/>
    <w:basedOn w:val="Normal"/>
    <w:next w:val="Normal"/>
    <w:uiPriority w:val="99"/>
    <w:unhideWhenUsed/>
    <w:qFormat/>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ofqih73upi87ekth94q-x" Type="http://schemas.openxmlformats.org/officeDocument/2006/relationships/hyperlink" Target="mailto:DPO@fortune.co.ke" TargetMode="External"/><Relationship Id="rIdgt6eavupfd-dqourghqvg" Type="http://schemas.openxmlformats.org/officeDocument/2006/relationships/hyperlink" Target="http://www.odpc.go.ke" TargetMode="External"/><Relationship Id="rIdvrzjjay3gk2eifsakwiex" Type="http://schemas.openxmlformats.org/officeDocument/2006/relationships/hyperlink" Target="mailto:complaints@odpc.go.ke" TargetMode="External"/><Relationship Id="rIddztweilgzmwflfbryanys" Type="http://schemas.openxmlformats.org/officeDocument/2006/relationships/hyperlink" Target="mailto:DPO@fortune.co.ke" TargetMode="External"/><Relationship Id="rIdfg6ovw1olmv85fvprxce7" Type="http://schemas.openxmlformats.org/officeDocument/2006/relationships/hyperlink" Target="http://www.odpc.go.ke" TargetMode="External"/><Relationship Id="rId4gy3ajdfhm4ozt9s2dam1" Type="http://schemas.openxmlformats.org/officeDocument/2006/relationships/hyperlink" Target="mailto:complaints@odpc.go.ke" TargetMode="External"/><Relationship Id="rIdzaxy_fglofergjhknvi5a" Type="http://schemas.openxmlformats.org/officeDocument/2006/relationships/hyperlink" Target="http://www.sasra.go.ke" TargetMode="External"/><Relationship Id="rIdehardxhlajc4rtlvquhzu" Type="http://schemas.openxmlformats.org/officeDocument/2006/relationships/hyperlink" Target="mailto:info@sasra.go.ke" TargetMode="External"/><Relationship Id="rIda2uqpkdvjm-taebtnta0s" Type="http://schemas.openxmlformats.org/officeDocument/2006/relationships/hyperlink" Target="http://www.centralbank.go.ke" TargetMode="External"/><Relationship Id="rId15"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Un-named</cp:lastModifiedBy>
  <cp:revision>1</cp:revision>
  <dcterms:created xsi:type="dcterms:W3CDTF">2026-06-15T09:29:53.362Z</dcterms:created>
  <dcterms:modified xsi:type="dcterms:W3CDTF">2026-06-15T09:29:53.362Z</dcterms:modified>
</cp:coreProperties>
</file>

<file path=docProps/custom.xml><?xml version="1.0" encoding="utf-8"?>
<Properties xmlns="http://schemas.openxmlformats.org/officeDocument/2006/custom-properties" xmlns:vt="http://schemas.openxmlformats.org/officeDocument/2006/docPropsVTypes"/>
</file>